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C6ABA4" w14:textId="65F73759" w:rsidR="0098520B" w:rsidRDefault="0098520B" w:rsidP="0098520B">
      <w:pPr>
        <w:spacing w:after="0"/>
      </w:pPr>
      <w:r w:rsidRPr="00776416">
        <w:rPr>
          <w:noProof/>
        </w:rPr>
        <w:drawing>
          <wp:inline distT="0" distB="0" distL="0" distR="0" wp14:anchorId="58134B50" wp14:editId="48D03573">
            <wp:extent cx="4236695" cy="1129030"/>
            <wp:effectExtent l="0" t="0" r="0" b="0"/>
            <wp:docPr id="8" name="Picture 8" descr="University of Phoenix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jshirey\OneDrive - University of Phoenix\F_Drive\Style Guides\UPX Logos\Horizontal format\UOPX_Sig_Hor_Black_Medium.png"/>
                    <pic:cNvPicPr>
                      <a:picLocks noChangeAspect="1" noChangeArrowheads="1"/>
                    </pic:cNvPicPr>
                  </pic:nvPicPr>
                  <pic:blipFill rotWithShape="1">
                    <a:blip r:embed="rId12">
                      <a:extLst>
                        <a:ext uri="{28A0092B-C50C-407E-A947-70E740481C1C}">
                          <a14:useLocalDpi xmlns:a14="http://schemas.microsoft.com/office/drawing/2010/main" val="0"/>
                        </a:ext>
                      </a:extLst>
                    </a:blip>
                    <a:srcRect l="5120" t="17190"/>
                    <a:stretch/>
                  </pic:blipFill>
                  <pic:spPr bwMode="auto">
                    <a:xfrm>
                      <a:off x="0" y="0"/>
                      <a:ext cx="4238526" cy="1129518"/>
                    </a:xfrm>
                    <a:prstGeom prst="rect">
                      <a:avLst/>
                    </a:prstGeom>
                    <a:noFill/>
                    <a:ln>
                      <a:noFill/>
                    </a:ln>
                    <a:extLst>
                      <a:ext uri="{53640926-AAD7-44D8-BBD7-CCE9431645EC}">
                        <a14:shadowObscured xmlns:a14="http://schemas.microsoft.com/office/drawing/2010/main"/>
                      </a:ext>
                    </a:extLst>
                  </pic:spPr>
                </pic:pic>
              </a:graphicData>
            </a:graphic>
          </wp:inline>
        </w:drawing>
      </w:r>
    </w:p>
    <w:p w14:paraId="00C6AE8D" w14:textId="20D2EFA8" w:rsidR="000F0903" w:rsidRDefault="00BF2FA3" w:rsidP="00776416">
      <w:pPr>
        <w:pStyle w:val="Title"/>
      </w:pPr>
      <w:r>
        <w:t>Types of Consent and Payers</w:t>
      </w:r>
    </w:p>
    <w:p w14:paraId="19A5F7F6" w14:textId="4FFE3D7D" w:rsidR="000F0903" w:rsidRPr="00367A24" w:rsidRDefault="00BF2FA3" w:rsidP="00367A24">
      <w:pPr>
        <w:pStyle w:val="Heading1"/>
      </w:pPr>
      <w:r w:rsidRPr="00367A24">
        <w:t>Part 1</w:t>
      </w:r>
    </w:p>
    <w:p w14:paraId="05C958AD" w14:textId="77777777" w:rsidR="00BF2FA3" w:rsidRPr="008B08B2" w:rsidRDefault="00BF2FA3" w:rsidP="00367A24">
      <w:pPr>
        <w:rPr>
          <w:rFonts w:ascii="Times New Roman" w:hAnsi="Times New Roman" w:cs="Times New Roman"/>
          <w:sz w:val="24"/>
          <w:szCs w:val="24"/>
        </w:rPr>
      </w:pPr>
      <w:r w:rsidRPr="008B08B2">
        <w:rPr>
          <w:rFonts w:ascii="Times New Roman" w:hAnsi="Times New Roman" w:cs="Times New Roman"/>
          <w:b/>
          <w:sz w:val="24"/>
          <w:szCs w:val="24"/>
        </w:rPr>
        <w:t>Complete</w:t>
      </w:r>
      <w:r w:rsidRPr="008B08B2">
        <w:rPr>
          <w:rFonts w:ascii="Times New Roman" w:hAnsi="Times New Roman" w:cs="Times New Roman"/>
          <w:sz w:val="24"/>
          <w:szCs w:val="24"/>
        </w:rPr>
        <w:t xml:space="preserve"> the chart and questions below.</w:t>
      </w:r>
    </w:p>
    <w:tbl>
      <w:tblPr>
        <w:tblStyle w:val="TableGrid"/>
        <w:tblW w:w="0" w:type="auto"/>
        <w:tblBorders>
          <w:top w:val="single" w:sz="4" w:space="0" w:color="4D3733" w:themeColor="background1"/>
          <w:left w:val="single" w:sz="4" w:space="0" w:color="4D3733" w:themeColor="background1"/>
          <w:bottom w:val="single" w:sz="4" w:space="0" w:color="4D3733" w:themeColor="background1"/>
          <w:right w:val="single" w:sz="4" w:space="0" w:color="4D3733" w:themeColor="background1"/>
          <w:insideH w:val="single" w:sz="4" w:space="0" w:color="4D3733" w:themeColor="background1"/>
          <w:insideV w:val="single" w:sz="4" w:space="0" w:color="4D3733" w:themeColor="background1"/>
        </w:tblBorders>
        <w:tblCellMar>
          <w:top w:w="86" w:type="dxa"/>
          <w:left w:w="115" w:type="dxa"/>
          <w:bottom w:w="86" w:type="dxa"/>
          <w:right w:w="115" w:type="dxa"/>
        </w:tblCellMar>
        <w:tblLook w:val="0620" w:firstRow="1" w:lastRow="0" w:firstColumn="0" w:lastColumn="0" w:noHBand="1" w:noVBand="1"/>
        <w:tblDescription w:val="&quot;&quot;"/>
      </w:tblPr>
      <w:tblGrid>
        <w:gridCol w:w="2337"/>
        <w:gridCol w:w="2337"/>
        <w:gridCol w:w="2338"/>
        <w:gridCol w:w="2338"/>
      </w:tblGrid>
      <w:tr w:rsidR="00776416" w:rsidRPr="008B08B2" w14:paraId="11522830" w14:textId="77777777" w:rsidTr="184C0106">
        <w:trPr>
          <w:tblHeader/>
        </w:trPr>
        <w:tc>
          <w:tcPr>
            <w:tcW w:w="2337" w:type="dxa"/>
            <w:shd w:val="clear" w:color="auto" w:fill="EDEDED" w:themeFill="accent5"/>
            <w:vAlign w:val="center"/>
          </w:tcPr>
          <w:p w14:paraId="4FAED3C7" w14:textId="1BD1BF5B" w:rsidR="007A0EAB" w:rsidRPr="008B08B2" w:rsidRDefault="00BF2FA3" w:rsidP="002901D9">
            <w:pPr>
              <w:spacing w:after="0"/>
              <w:jc w:val="center"/>
              <w:rPr>
                <w:rFonts w:ascii="Times New Roman" w:hAnsi="Times New Roman" w:cs="Times New Roman"/>
                <w:sz w:val="24"/>
                <w:szCs w:val="24"/>
              </w:rPr>
            </w:pPr>
            <w:bookmarkStart w:id="0" w:name="TableColumn01"/>
            <w:bookmarkEnd w:id="0"/>
            <w:r w:rsidRPr="008B08B2">
              <w:rPr>
                <w:rFonts w:ascii="Times New Roman" w:hAnsi="Times New Roman" w:cs="Times New Roman"/>
                <w:sz w:val="24"/>
                <w:szCs w:val="24"/>
              </w:rPr>
              <w:t>Type of consent</w:t>
            </w:r>
          </w:p>
        </w:tc>
        <w:tc>
          <w:tcPr>
            <w:tcW w:w="2337" w:type="dxa"/>
            <w:shd w:val="clear" w:color="auto" w:fill="EDEDED" w:themeFill="accent5"/>
            <w:vAlign w:val="center"/>
          </w:tcPr>
          <w:p w14:paraId="00FF5F80" w14:textId="09252818" w:rsidR="007A0EAB" w:rsidRPr="008B08B2" w:rsidRDefault="00BF2FA3" w:rsidP="002901D9">
            <w:pPr>
              <w:spacing w:after="0"/>
              <w:jc w:val="center"/>
              <w:rPr>
                <w:rFonts w:ascii="Times New Roman" w:hAnsi="Times New Roman" w:cs="Times New Roman"/>
                <w:sz w:val="24"/>
                <w:szCs w:val="24"/>
              </w:rPr>
            </w:pPr>
            <w:r w:rsidRPr="008B08B2">
              <w:rPr>
                <w:rFonts w:ascii="Times New Roman" w:hAnsi="Times New Roman" w:cs="Times New Roman"/>
                <w:sz w:val="24"/>
                <w:szCs w:val="24"/>
              </w:rPr>
              <w:t>Define the type of consent (20 to 45 words)</w:t>
            </w:r>
          </w:p>
        </w:tc>
        <w:tc>
          <w:tcPr>
            <w:tcW w:w="2338" w:type="dxa"/>
            <w:shd w:val="clear" w:color="auto" w:fill="EDEDED" w:themeFill="accent5"/>
            <w:vAlign w:val="center"/>
          </w:tcPr>
          <w:p w14:paraId="5FFF5BAF" w14:textId="0CBE9716" w:rsidR="007A0EAB" w:rsidRPr="008B08B2" w:rsidRDefault="00BF2FA3" w:rsidP="002901D9">
            <w:pPr>
              <w:spacing w:after="0"/>
              <w:jc w:val="center"/>
              <w:rPr>
                <w:rFonts w:ascii="Times New Roman" w:hAnsi="Times New Roman" w:cs="Times New Roman"/>
                <w:sz w:val="24"/>
                <w:szCs w:val="24"/>
              </w:rPr>
            </w:pPr>
            <w:r w:rsidRPr="008B08B2">
              <w:rPr>
                <w:rFonts w:ascii="Times New Roman" w:hAnsi="Times New Roman" w:cs="Times New Roman"/>
                <w:sz w:val="24"/>
                <w:szCs w:val="24"/>
              </w:rPr>
              <w:t>Identify 4 principles of consent (20 to 45 words)</w:t>
            </w:r>
          </w:p>
        </w:tc>
        <w:tc>
          <w:tcPr>
            <w:tcW w:w="2338" w:type="dxa"/>
            <w:shd w:val="clear" w:color="auto" w:fill="EDEDED" w:themeFill="accent5"/>
            <w:vAlign w:val="center"/>
          </w:tcPr>
          <w:p w14:paraId="626D2C87" w14:textId="07645F85" w:rsidR="007A0EAB" w:rsidRPr="008B08B2" w:rsidRDefault="00BF2FA3" w:rsidP="002901D9">
            <w:pPr>
              <w:spacing w:after="0"/>
              <w:jc w:val="center"/>
              <w:rPr>
                <w:rFonts w:ascii="Times New Roman" w:hAnsi="Times New Roman" w:cs="Times New Roman"/>
                <w:sz w:val="24"/>
                <w:szCs w:val="24"/>
              </w:rPr>
            </w:pPr>
            <w:r w:rsidRPr="008B08B2">
              <w:rPr>
                <w:rFonts w:ascii="Times New Roman" w:hAnsi="Times New Roman" w:cs="Times New Roman"/>
                <w:sz w:val="24"/>
                <w:szCs w:val="24"/>
              </w:rPr>
              <w:t>Describe the impact of consent on the health care industry (45 to 90 words).</w:t>
            </w:r>
          </w:p>
        </w:tc>
      </w:tr>
      <w:tr w:rsidR="00BF2FA3" w:rsidRPr="008B08B2" w14:paraId="7A95B600" w14:textId="77777777" w:rsidTr="00D97602">
        <w:tc>
          <w:tcPr>
            <w:tcW w:w="2337" w:type="dxa"/>
          </w:tcPr>
          <w:p w14:paraId="75601A68" w14:textId="77777777" w:rsidR="00BF2FA3" w:rsidRPr="008B08B2" w:rsidRDefault="00BF2FA3" w:rsidP="00367A24">
            <w:pPr>
              <w:spacing w:after="0"/>
              <w:rPr>
                <w:rFonts w:ascii="Times New Roman" w:hAnsi="Times New Roman" w:cs="Times New Roman"/>
                <w:sz w:val="24"/>
                <w:szCs w:val="24"/>
              </w:rPr>
            </w:pPr>
            <w:r w:rsidRPr="008B08B2">
              <w:rPr>
                <w:rFonts w:ascii="Times New Roman" w:hAnsi="Times New Roman" w:cs="Times New Roman"/>
                <w:sz w:val="24"/>
                <w:szCs w:val="24"/>
              </w:rPr>
              <w:t>Informed consent</w:t>
            </w:r>
          </w:p>
          <w:p w14:paraId="17DC778E" w14:textId="77777777" w:rsidR="00BF2FA3" w:rsidRPr="008B08B2" w:rsidRDefault="00BF2FA3" w:rsidP="00367A24">
            <w:pPr>
              <w:spacing w:after="0"/>
              <w:rPr>
                <w:rFonts w:ascii="Times New Roman" w:hAnsi="Times New Roman" w:cs="Times New Roman"/>
                <w:sz w:val="24"/>
                <w:szCs w:val="24"/>
              </w:rPr>
            </w:pPr>
          </w:p>
        </w:tc>
        <w:tc>
          <w:tcPr>
            <w:tcW w:w="2337" w:type="dxa"/>
            <w:vAlign w:val="center"/>
          </w:tcPr>
          <w:p w14:paraId="7FE34C50" w14:textId="110C6677" w:rsidR="00BF2FA3" w:rsidRPr="008B08B2" w:rsidRDefault="00412993" w:rsidP="00367A24">
            <w:pPr>
              <w:spacing w:after="0"/>
              <w:rPr>
                <w:rFonts w:ascii="Times New Roman" w:hAnsi="Times New Roman" w:cs="Times New Roman"/>
                <w:sz w:val="24"/>
                <w:szCs w:val="24"/>
              </w:rPr>
            </w:pPr>
            <w:r w:rsidRPr="008B08B2">
              <w:rPr>
                <w:rFonts w:ascii="Times New Roman" w:hAnsi="Times New Roman" w:cs="Times New Roman"/>
                <w:sz w:val="24"/>
                <w:szCs w:val="24"/>
              </w:rPr>
              <w:t xml:space="preserve">Informed consent is a process that makes plain benefits, risks and the alternatives of </w:t>
            </w:r>
            <w:r w:rsidR="00346D18" w:rsidRPr="008B08B2">
              <w:rPr>
                <w:rFonts w:ascii="Times New Roman" w:hAnsi="Times New Roman" w:cs="Times New Roman"/>
                <w:sz w:val="24"/>
                <w:szCs w:val="24"/>
              </w:rPr>
              <w:t>a procedure that enables them to make informed decisions.</w:t>
            </w:r>
          </w:p>
        </w:tc>
        <w:tc>
          <w:tcPr>
            <w:tcW w:w="2338" w:type="dxa"/>
            <w:vAlign w:val="center"/>
          </w:tcPr>
          <w:p w14:paraId="4FCA7271" w14:textId="277B9F31" w:rsidR="00BF2FA3" w:rsidRPr="008B08B2" w:rsidRDefault="00346D18" w:rsidP="00367A24">
            <w:pPr>
              <w:spacing w:after="0"/>
              <w:rPr>
                <w:rFonts w:ascii="Times New Roman" w:hAnsi="Times New Roman" w:cs="Times New Roman"/>
                <w:sz w:val="24"/>
                <w:szCs w:val="24"/>
              </w:rPr>
            </w:pPr>
            <w:r w:rsidRPr="008B08B2">
              <w:rPr>
                <w:rFonts w:ascii="Times New Roman" w:hAnsi="Times New Roman" w:cs="Times New Roman"/>
                <w:sz w:val="24"/>
                <w:szCs w:val="24"/>
              </w:rPr>
              <w:t>1.a disclosure of the benefits to be expected</w:t>
            </w:r>
          </w:p>
          <w:p w14:paraId="44AE8727" w14:textId="77777777" w:rsidR="00346D18" w:rsidRPr="008B08B2" w:rsidRDefault="00346D18" w:rsidP="00367A24">
            <w:pPr>
              <w:spacing w:after="0"/>
              <w:rPr>
                <w:rFonts w:ascii="Times New Roman" w:hAnsi="Times New Roman" w:cs="Times New Roman"/>
                <w:sz w:val="24"/>
                <w:szCs w:val="24"/>
              </w:rPr>
            </w:pPr>
            <w:r w:rsidRPr="008B08B2">
              <w:rPr>
                <w:rFonts w:ascii="Times New Roman" w:hAnsi="Times New Roman" w:cs="Times New Roman"/>
                <w:sz w:val="24"/>
                <w:szCs w:val="24"/>
              </w:rPr>
              <w:t>2.comprehemsive description of the procedure</w:t>
            </w:r>
          </w:p>
          <w:p w14:paraId="2D2112DA" w14:textId="33C39CDE" w:rsidR="00346D18" w:rsidRPr="008B08B2" w:rsidRDefault="00346D18" w:rsidP="00367A24">
            <w:pPr>
              <w:spacing w:after="0"/>
              <w:rPr>
                <w:rFonts w:ascii="Times New Roman" w:hAnsi="Times New Roman" w:cs="Times New Roman"/>
                <w:sz w:val="24"/>
                <w:szCs w:val="24"/>
              </w:rPr>
            </w:pPr>
            <w:r w:rsidRPr="008B08B2">
              <w:rPr>
                <w:rFonts w:ascii="Times New Roman" w:hAnsi="Times New Roman" w:cs="Times New Roman"/>
                <w:sz w:val="24"/>
                <w:szCs w:val="24"/>
              </w:rPr>
              <w:t>3.The disclosure of risk expected</w:t>
            </w:r>
          </w:p>
          <w:p w14:paraId="4DF38F13" w14:textId="4E71ED2E" w:rsidR="00346D18" w:rsidRPr="008B08B2" w:rsidRDefault="00346D18" w:rsidP="00367A24">
            <w:pPr>
              <w:spacing w:after="0"/>
              <w:rPr>
                <w:rFonts w:ascii="Times New Roman" w:hAnsi="Times New Roman" w:cs="Times New Roman"/>
                <w:sz w:val="24"/>
                <w:szCs w:val="24"/>
              </w:rPr>
            </w:pPr>
            <w:r w:rsidRPr="008B08B2">
              <w:rPr>
                <w:rFonts w:ascii="Times New Roman" w:hAnsi="Times New Roman" w:cs="Times New Roman"/>
                <w:sz w:val="24"/>
                <w:szCs w:val="24"/>
              </w:rPr>
              <w:t>4.Disclosure of alternatives procedure/treatment</w:t>
            </w:r>
          </w:p>
        </w:tc>
        <w:tc>
          <w:tcPr>
            <w:tcW w:w="2338" w:type="dxa"/>
            <w:vAlign w:val="center"/>
          </w:tcPr>
          <w:p w14:paraId="13C4A90B" w14:textId="5EBF0704" w:rsidR="00BF2FA3" w:rsidRPr="008B08B2" w:rsidRDefault="00346D18" w:rsidP="00367A24">
            <w:pPr>
              <w:spacing w:after="0"/>
              <w:rPr>
                <w:rFonts w:ascii="Times New Roman" w:hAnsi="Times New Roman" w:cs="Times New Roman"/>
                <w:sz w:val="24"/>
                <w:szCs w:val="24"/>
              </w:rPr>
            </w:pPr>
            <w:r w:rsidRPr="008B08B2">
              <w:rPr>
                <w:rFonts w:ascii="Times New Roman" w:hAnsi="Times New Roman" w:cs="Times New Roman"/>
                <w:sz w:val="24"/>
                <w:szCs w:val="24"/>
              </w:rPr>
              <w:t xml:space="preserve">From a safety </w:t>
            </w:r>
            <w:r w:rsidR="00493A1D" w:rsidRPr="008B08B2">
              <w:rPr>
                <w:rFonts w:ascii="Times New Roman" w:hAnsi="Times New Roman" w:cs="Times New Roman"/>
                <w:sz w:val="24"/>
                <w:szCs w:val="24"/>
              </w:rPr>
              <w:t xml:space="preserve">standpoint, it can be a major concern for the patients when procedures are performed without it. According to </w:t>
            </w:r>
            <w:r w:rsidR="008B08B2" w:rsidRPr="008B08B2">
              <w:rPr>
                <w:rFonts w:ascii="Times New Roman" w:eastAsia="Times New Roman" w:hAnsi="Times New Roman" w:cs="Times New Roman"/>
                <w:color w:val="auto"/>
                <w:sz w:val="24"/>
                <w:szCs w:val="24"/>
              </w:rPr>
              <w:t>Correia-Melo et al</w:t>
            </w:r>
            <w:r w:rsidR="00493A1D" w:rsidRPr="008B08B2">
              <w:rPr>
                <w:rFonts w:ascii="Times New Roman" w:hAnsi="Times New Roman" w:cs="Times New Roman"/>
                <w:sz w:val="24"/>
                <w:szCs w:val="24"/>
              </w:rPr>
              <w:t xml:space="preserve">, </w:t>
            </w:r>
            <w:r w:rsidR="008B08B2" w:rsidRPr="008B08B2">
              <w:rPr>
                <w:rFonts w:ascii="Times New Roman" w:hAnsi="Times New Roman" w:cs="Times New Roman"/>
                <w:sz w:val="24"/>
                <w:szCs w:val="24"/>
              </w:rPr>
              <w:t>(2018)</w:t>
            </w:r>
            <w:r w:rsidR="00493A1D" w:rsidRPr="008B08B2">
              <w:rPr>
                <w:rFonts w:ascii="Times New Roman" w:hAnsi="Times New Roman" w:cs="Times New Roman"/>
                <w:sz w:val="24"/>
                <w:szCs w:val="24"/>
              </w:rPr>
              <w:t>, when a procedure is done on a patient without any informed consent, it is considered as a form of battery.</w:t>
            </w:r>
          </w:p>
        </w:tc>
      </w:tr>
      <w:tr w:rsidR="00BF2FA3" w:rsidRPr="008B08B2" w14:paraId="0F44EEE1" w14:textId="77777777" w:rsidTr="00D97602">
        <w:tc>
          <w:tcPr>
            <w:tcW w:w="2337" w:type="dxa"/>
          </w:tcPr>
          <w:p w14:paraId="02E20E95" w14:textId="68DCEF43" w:rsidR="00BF2FA3" w:rsidRPr="008B08B2" w:rsidRDefault="00BF2FA3" w:rsidP="00367A24">
            <w:pPr>
              <w:spacing w:after="0"/>
              <w:rPr>
                <w:rFonts w:ascii="Times New Roman" w:hAnsi="Times New Roman" w:cs="Times New Roman"/>
                <w:sz w:val="24"/>
                <w:szCs w:val="24"/>
              </w:rPr>
            </w:pPr>
            <w:r w:rsidRPr="008B08B2">
              <w:rPr>
                <w:rFonts w:ascii="Times New Roman" w:hAnsi="Times New Roman" w:cs="Times New Roman"/>
                <w:sz w:val="24"/>
                <w:szCs w:val="24"/>
              </w:rPr>
              <w:t>Implied consent</w:t>
            </w:r>
          </w:p>
          <w:p w14:paraId="5C74283E" w14:textId="77777777" w:rsidR="00BF2FA3" w:rsidRPr="008B08B2" w:rsidRDefault="00BF2FA3" w:rsidP="00367A24">
            <w:pPr>
              <w:spacing w:after="0"/>
              <w:rPr>
                <w:rFonts w:ascii="Times New Roman" w:hAnsi="Times New Roman" w:cs="Times New Roman"/>
                <w:sz w:val="24"/>
                <w:szCs w:val="24"/>
              </w:rPr>
            </w:pPr>
          </w:p>
        </w:tc>
        <w:tc>
          <w:tcPr>
            <w:tcW w:w="2337" w:type="dxa"/>
            <w:vAlign w:val="center"/>
          </w:tcPr>
          <w:p w14:paraId="6F38B14E" w14:textId="5B7753FA" w:rsidR="00BF2FA3" w:rsidRPr="008B08B2" w:rsidRDefault="00346D18" w:rsidP="00367A24">
            <w:pPr>
              <w:spacing w:after="0"/>
              <w:rPr>
                <w:rFonts w:ascii="Times New Roman" w:hAnsi="Times New Roman" w:cs="Times New Roman"/>
                <w:sz w:val="24"/>
                <w:szCs w:val="24"/>
              </w:rPr>
            </w:pPr>
            <w:r w:rsidRPr="008B08B2">
              <w:rPr>
                <w:rFonts w:ascii="Times New Roman" w:hAnsi="Times New Roman" w:cs="Times New Roman"/>
                <w:sz w:val="24"/>
                <w:szCs w:val="24"/>
              </w:rPr>
              <w:t>On the other hand, the implied consent is the granting of permission for care such us healthcare without issuance of a formal agreement between a receiver and the provider.</w:t>
            </w:r>
          </w:p>
        </w:tc>
        <w:tc>
          <w:tcPr>
            <w:tcW w:w="2338" w:type="dxa"/>
            <w:vAlign w:val="center"/>
          </w:tcPr>
          <w:p w14:paraId="03A4DCA6" w14:textId="77777777" w:rsidR="00BF2FA3" w:rsidRPr="008B08B2" w:rsidRDefault="00346D18" w:rsidP="00367A24">
            <w:pPr>
              <w:spacing w:after="0"/>
              <w:rPr>
                <w:rFonts w:ascii="Times New Roman" w:hAnsi="Times New Roman" w:cs="Times New Roman"/>
                <w:sz w:val="24"/>
                <w:szCs w:val="24"/>
              </w:rPr>
            </w:pPr>
            <w:r w:rsidRPr="008B08B2">
              <w:rPr>
                <w:rFonts w:ascii="Times New Roman" w:hAnsi="Times New Roman" w:cs="Times New Roman"/>
                <w:sz w:val="24"/>
                <w:szCs w:val="24"/>
              </w:rPr>
              <w:t>1.discosure of risk that may be associated</w:t>
            </w:r>
          </w:p>
          <w:p w14:paraId="434C0425" w14:textId="77777777" w:rsidR="00346D18" w:rsidRPr="008B08B2" w:rsidRDefault="00346D18" w:rsidP="00367A24">
            <w:pPr>
              <w:spacing w:after="0"/>
              <w:rPr>
                <w:rFonts w:ascii="Times New Roman" w:hAnsi="Times New Roman" w:cs="Times New Roman"/>
                <w:sz w:val="24"/>
                <w:szCs w:val="24"/>
              </w:rPr>
            </w:pPr>
            <w:r w:rsidRPr="008B08B2">
              <w:rPr>
                <w:rFonts w:ascii="Times New Roman" w:hAnsi="Times New Roman" w:cs="Times New Roman"/>
                <w:sz w:val="24"/>
                <w:szCs w:val="24"/>
              </w:rPr>
              <w:t>2. blood drawn of a patient implies implied consent</w:t>
            </w:r>
          </w:p>
          <w:p w14:paraId="1F7B38E8" w14:textId="77777777" w:rsidR="00346D18" w:rsidRPr="008B08B2" w:rsidRDefault="00346D18" w:rsidP="00367A24">
            <w:pPr>
              <w:spacing w:after="0"/>
              <w:rPr>
                <w:rFonts w:ascii="Times New Roman" w:hAnsi="Times New Roman" w:cs="Times New Roman"/>
                <w:sz w:val="24"/>
                <w:szCs w:val="24"/>
              </w:rPr>
            </w:pPr>
            <w:r w:rsidRPr="008B08B2">
              <w:rPr>
                <w:rFonts w:ascii="Times New Roman" w:hAnsi="Times New Roman" w:cs="Times New Roman"/>
                <w:sz w:val="24"/>
                <w:szCs w:val="24"/>
              </w:rPr>
              <w:t>3. making an appointment means that a patient wants treatment</w:t>
            </w:r>
          </w:p>
          <w:p w14:paraId="6CF6F4EB" w14:textId="63BF17FB" w:rsidR="00346D18" w:rsidRPr="008B08B2" w:rsidRDefault="00346D18" w:rsidP="00367A24">
            <w:pPr>
              <w:spacing w:after="0"/>
              <w:rPr>
                <w:rFonts w:ascii="Times New Roman" w:hAnsi="Times New Roman" w:cs="Times New Roman"/>
                <w:sz w:val="24"/>
                <w:szCs w:val="24"/>
              </w:rPr>
            </w:pPr>
            <w:r w:rsidRPr="008B08B2">
              <w:rPr>
                <w:rFonts w:ascii="Times New Roman" w:hAnsi="Times New Roman" w:cs="Times New Roman"/>
                <w:sz w:val="24"/>
                <w:szCs w:val="24"/>
              </w:rPr>
              <w:t>4.</w:t>
            </w:r>
            <w:r w:rsidR="00493A1D" w:rsidRPr="008B08B2">
              <w:rPr>
                <w:rFonts w:ascii="Times New Roman" w:hAnsi="Times New Roman" w:cs="Times New Roman"/>
                <w:sz w:val="24"/>
                <w:szCs w:val="24"/>
              </w:rPr>
              <w:t xml:space="preserve"> Appropriate disclosure of procedure and treatment to the patient.</w:t>
            </w:r>
          </w:p>
        </w:tc>
        <w:tc>
          <w:tcPr>
            <w:tcW w:w="2338" w:type="dxa"/>
            <w:vAlign w:val="center"/>
          </w:tcPr>
          <w:p w14:paraId="591ED7AD" w14:textId="62549666" w:rsidR="00BF2FA3" w:rsidRPr="008B08B2" w:rsidRDefault="00493A1D" w:rsidP="00367A24">
            <w:pPr>
              <w:spacing w:after="0"/>
              <w:rPr>
                <w:rFonts w:ascii="Times New Roman" w:hAnsi="Times New Roman" w:cs="Times New Roman"/>
                <w:sz w:val="24"/>
                <w:szCs w:val="24"/>
              </w:rPr>
            </w:pPr>
            <w:r w:rsidRPr="008B08B2">
              <w:rPr>
                <w:rFonts w:ascii="Times New Roman" w:hAnsi="Times New Roman" w:cs="Times New Roman"/>
                <w:sz w:val="24"/>
                <w:szCs w:val="24"/>
              </w:rPr>
              <w:t>Implied consent isn’t a preferable way of making a consent. If a treatment fails and the patient makes any unsatisfied concerns with the outcome, the patient can deny making any consent and the healthcare industry has no evidence to prove otherwise.</w:t>
            </w:r>
          </w:p>
        </w:tc>
      </w:tr>
    </w:tbl>
    <w:p w14:paraId="2A5CD5E2" w14:textId="093DA2E2" w:rsidR="00BF2FA3" w:rsidRPr="008B08B2" w:rsidRDefault="00BF2FA3" w:rsidP="008B08B2">
      <w:pPr>
        <w:pStyle w:val="ListParagraph"/>
        <w:numPr>
          <w:ilvl w:val="0"/>
          <w:numId w:val="5"/>
        </w:numPr>
        <w:spacing w:line="480" w:lineRule="auto"/>
        <w:ind w:firstLine="720"/>
        <w:rPr>
          <w:rFonts w:ascii="Times New Roman" w:hAnsi="Times New Roman" w:cs="Times New Roman"/>
          <w:b/>
          <w:sz w:val="24"/>
          <w:szCs w:val="24"/>
        </w:rPr>
      </w:pPr>
      <w:r w:rsidRPr="008B08B2">
        <w:rPr>
          <w:rFonts w:ascii="Times New Roman" w:hAnsi="Times New Roman" w:cs="Times New Roman"/>
          <w:b/>
          <w:sz w:val="24"/>
          <w:szCs w:val="24"/>
        </w:rPr>
        <w:lastRenderedPageBreak/>
        <w:t>Describe 4 exceptions (federal or state level) to consent.</w:t>
      </w:r>
    </w:p>
    <w:p w14:paraId="518FBBAB" w14:textId="1AC9B582" w:rsidR="00E50178" w:rsidRPr="008B08B2" w:rsidRDefault="001E45C6" w:rsidP="008B08B2">
      <w:pPr>
        <w:spacing w:line="480" w:lineRule="auto"/>
        <w:ind w:firstLine="720"/>
        <w:rPr>
          <w:rFonts w:ascii="Times New Roman" w:hAnsi="Times New Roman" w:cs="Times New Roman"/>
          <w:sz w:val="24"/>
          <w:szCs w:val="24"/>
        </w:rPr>
      </w:pPr>
      <w:r w:rsidRPr="008B08B2">
        <w:rPr>
          <w:rFonts w:ascii="Times New Roman" w:hAnsi="Times New Roman" w:cs="Times New Roman"/>
          <w:sz w:val="24"/>
          <w:szCs w:val="24"/>
        </w:rPr>
        <w:t>a) Emergency</w:t>
      </w:r>
      <w:r w:rsidR="00E50178" w:rsidRPr="008B08B2">
        <w:rPr>
          <w:rFonts w:ascii="Times New Roman" w:hAnsi="Times New Roman" w:cs="Times New Roman"/>
          <w:sz w:val="24"/>
          <w:szCs w:val="24"/>
        </w:rPr>
        <w:t xml:space="preserve"> ex</w:t>
      </w:r>
      <w:r w:rsidRPr="008B08B2">
        <w:rPr>
          <w:rFonts w:ascii="Times New Roman" w:hAnsi="Times New Roman" w:cs="Times New Roman"/>
          <w:sz w:val="24"/>
          <w:szCs w:val="24"/>
        </w:rPr>
        <w:t>c</w:t>
      </w:r>
      <w:r w:rsidR="00E50178" w:rsidRPr="008B08B2">
        <w:rPr>
          <w:rFonts w:ascii="Times New Roman" w:hAnsi="Times New Roman" w:cs="Times New Roman"/>
          <w:sz w:val="24"/>
          <w:szCs w:val="24"/>
        </w:rPr>
        <w:t>eption</w:t>
      </w:r>
      <w:r w:rsidRPr="008B08B2">
        <w:rPr>
          <w:rFonts w:ascii="Times New Roman" w:hAnsi="Times New Roman" w:cs="Times New Roman"/>
          <w:sz w:val="24"/>
          <w:szCs w:val="24"/>
        </w:rPr>
        <w:t xml:space="preserve">- the expectation states that unconscious patients cannot take any consent. This </w:t>
      </w:r>
      <w:r w:rsidR="000D761E" w:rsidRPr="008B08B2">
        <w:rPr>
          <w:rFonts w:ascii="Times New Roman" w:hAnsi="Times New Roman" w:cs="Times New Roman"/>
          <w:sz w:val="24"/>
          <w:szCs w:val="24"/>
        </w:rPr>
        <w:t>includes all the patients that are in imminent danger or harm and is unable to make a consent. Applying the exception to informed consent means that the situation must meet two conditions. First the patient cannot be able to communicate. Secondly, the treatment benefits outweighs the risks. If the conditions are satisfied, then a physician can offer care in absence of informed consent.</w:t>
      </w:r>
    </w:p>
    <w:p w14:paraId="169C25BD" w14:textId="6C7AEBB7" w:rsidR="00E50178" w:rsidRPr="008B08B2" w:rsidRDefault="001E45C6" w:rsidP="008B08B2">
      <w:pPr>
        <w:spacing w:line="480" w:lineRule="auto"/>
        <w:ind w:firstLine="720"/>
        <w:rPr>
          <w:rFonts w:ascii="Times New Roman" w:hAnsi="Times New Roman" w:cs="Times New Roman"/>
          <w:sz w:val="24"/>
          <w:szCs w:val="24"/>
        </w:rPr>
      </w:pPr>
      <w:r w:rsidRPr="008B08B2">
        <w:rPr>
          <w:rFonts w:ascii="Times New Roman" w:hAnsi="Times New Roman" w:cs="Times New Roman"/>
          <w:sz w:val="24"/>
          <w:szCs w:val="24"/>
        </w:rPr>
        <w:t xml:space="preserve">b) Legally </w:t>
      </w:r>
      <w:r w:rsidR="00E50178" w:rsidRPr="008B08B2">
        <w:rPr>
          <w:rFonts w:ascii="Times New Roman" w:hAnsi="Times New Roman" w:cs="Times New Roman"/>
          <w:sz w:val="24"/>
          <w:szCs w:val="24"/>
        </w:rPr>
        <w:t>mandated treatment</w:t>
      </w:r>
      <w:r w:rsidRPr="008B08B2">
        <w:rPr>
          <w:rFonts w:ascii="Times New Roman" w:hAnsi="Times New Roman" w:cs="Times New Roman"/>
          <w:sz w:val="24"/>
          <w:szCs w:val="24"/>
        </w:rPr>
        <w:t>- the legal mandate treatment involves court-ordered treatment and tests that are mandated by law.</w:t>
      </w:r>
      <w:r w:rsidR="000D761E" w:rsidRPr="008B08B2">
        <w:rPr>
          <w:rFonts w:ascii="Times New Roman" w:hAnsi="Times New Roman" w:cs="Times New Roman"/>
          <w:sz w:val="24"/>
          <w:szCs w:val="24"/>
        </w:rPr>
        <w:t xml:space="preserve"> A patient must have undergone treatment for a certain period of time and received an evaluation from a mental health </w:t>
      </w:r>
      <w:r w:rsidR="003C71ED" w:rsidRPr="008B08B2">
        <w:rPr>
          <w:rFonts w:ascii="Times New Roman" w:hAnsi="Times New Roman" w:cs="Times New Roman"/>
          <w:sz w:val="24"/>
          <w:szCs w:val="24"/>
        </w:rPr>
        <w:t>expert (Yasgur, 2018)</w:t>
      </w:r>
      <w:r w:rsidR="000D761E" w:rsidRPr="008B08B2">
        <w:rPr>
          <w:rFonts w:ascii="Times New Roman" w:hAnsi="Times New Roman" w:cs="Times New Roman"/>
          <w:sz w:val="24"/>
          <w:szCs w:val="24"/>
        </w:rPr>
        <w:t>. The main mandatory treatment include emergency mental health holds, drug and mental health courts and treatment in lieu of incarceration.</w:t>
      </w:r>
    </w:p>
    <w:p w14:paraId="2E0D9745" w14:textId="3D8DC370" w:rsidR="00E50178" w:rsidRPr="008B08B2" w:rsidRDefault="001E45C6" w:rsidP="008B08B2">
      <w:pPr>
        <w:spacing w:line="480" w:lineRule="auto"/>
        <w:ind w:firstLine="720"/>
        <w:rPr>
          <w:rFonts w:ascii="Times New Roman" w:hAnsi="Times New Roman" w:cs="Times New Roman"/>
          <w:sz w:val="24"/>
          <w:szCs w:val="24"/>
        </w:rPr>
      </w:pPr>
      <w:r w:rsidRPr="008B08B2">
        <w:rPr>
          <w:rFonts w:ascii="Times New Roman" w:hAnsi="Times New Roman" w:cs="Times New Roman"/>
          <w:sz w:val="24"/>
          <w:szCs w:val="24"/>
        </w:rPr>
        <w:t>c) Therapeutic</w:t>
      </w:r>
      <w:r w:rsidR="00E50178" w:rsidRPr="008B08B2">
        <w:rPr>
          <w:rFonts w:ascii="Times New Roman" w:hAnsi="Times New Roman" w:cs="Times New Roman"/>
          <w:sz w:val="24"/>
          <w:szCs w:val="24"/>
        </w:rPr>
        <w:t xml:space="preserve"> ex</w:t>
      </w:r>
      <w:r w:rsidRPr="008B08B2">
        <w:rPr>
          <w:rFonts w:ascii="Times New Roman" w:hAnsi="Times New Roman" w:cs="Times New Roman"/>
          <w:sz w:val="24"/>
          <w:szCs w:val="24"/>
        </w:rPr>
        <w:t>ception-the exception allows that physicians to withhold information from patients in case the information could cause psychological issues to the patient, causing mental health issues. The court requires that doctors don’t disclosure informed consent details that might upset a patient in manner that cause them to think irrationally about their care.</w:t>
      </w:r>
    </w:p>
    <w:p w14:paraId="468612A6" w14:textId="304AB42A" w:rsidR="00BF2FA3" w:rsidRPr="008B08B2" w:rsidRDefault="003C71ED" w:rsidP="008B08B2">
      <w:pPr>
        <w:spacing w:line="480" w:lineRule="auto"/>
        <w:ind w:firstLine="720"/>
        <w:rPr>
          <w:rFonts w:ascii="Times New Roman" w:hAnsi="Times New Roman" w:cs="Times New Roman"/>
          <w:sz w:val="24"/>
          <w:szCs w:val="24"/>
        </w:rPr>
      </w:pPr>
      <w:r w:rsidRPr="008B08B2">
        <w:rPr>
          <w:rFonts w:ascii="Times New Roman" w:hAnsi="Times New Roman" w:cs="Times New Roman"/>
          <w:sz w:val="24"/>
          <w:szCs w:val="24"/>
        </w:rPr>
        <w:t>d) The implied consent works with fourth amendment as an exception for state laws requiring anyone detained for DUI or any related violation to submit chemical test in order to determine BAC.</w:t>
      </w:r>
    </w:p>
    <w:p w14:paraId="573C5048" w14:textId="7E4E660F" w:rsidR="00BF2FA3" w:rsidRPr="008B08B2" w:rsidRDefault="00BF2FA3" w:rsidP="008B08B2">
      <w:pPr>
        <w:pStyle w:val="ListParagraph"/>
        <w:numPr>
          <w:ilvl w:val="0"/>
          <w:numId w:val="5"/>
        </w:numPr>
        <w:spacing w:line="480" w:lineRule="auto"/>
        <w:ind w:firstLine="720"/>
        <w:rPr>
          <w:rFonts w:ascii="Times New Roman" w:hAnsi="Times New Roman" w:cs="Times New Roman"/>
          <w:b/>
          <w:sz w:val="24"/>
          <w:szCs w:val="24"/>
        </w:rPr>
      </w:pPr>
      <w:r w:rsidRPr="008B08B2">
        <w:rPr>
          <w:rFonts w:ascii="Times New Roman" w:hAnsi="Times New Roman" w:cs="Times New Roman"/>
          <w:b/>
          <w:sz w:val="24"/>
          <w:szCs w:val="24"/>
        </w:rPr>
        <w:t>What impact do exceptions to consent have on the health care industry?</w:t>
      </w:r>
    </w:p>
    <w:p w14:paraId="3FE0AF46" w14:textId="3BFED16A" w:rsidR="00BF2FA3" w:rsidRPr="008B08B2" w:rsidRDefault="0041707B" w:rsidP="008E49A3">
      <w:pPr>
        <w:spacing w:line="480" w:lineRule="auto"/>
        <w:ind w:firstLine="720"/>
        <w:rPr>
          <w:rFonts w:ascii="Times New Roman" w:hAnsi="Times New Roman" w:cs="Times New Roman"/>
          <w:sz w:val="24"/>
          <w:szCs w:val="24"/>
        </w:rPr>
      </w:pPr>
      <w:r w:rsidRPr="008B08B2">
        <w:rPr>
          <w:rFonts w:ascii="Times New Roman" w:hAnsi="Times New Roman" w:cs="Times New Roman"/>
          <w:sz w:val="24"/>
          <w:szCs w:val="24"/>
        </w:rPr>
        <w:t xml:space="preserve">There are a number of issues resulting from exceptions to consent. They come from the limitations of informed consent processes. A patient that may be subject to unnecessary treatment may end up having preventable medical injuries. Unnecessary treatment can also lead to health complication to the patient. Besides, even when there is no physical harm, decisions that are based on exception of informed consent may undermine the autonomy of a patient. Mandated treatment may prevent patients who may have </w:t>
      </w:r>
      <w:r w:rsidR="004D5E06" w:rsidRPr="008B08B2">
        <w:rPr>
          <w:rFonts w:ascii="Times New Roman" w:hAnsi="Times New Roman" w:cs="Times New Roman"/>
          <w:sz w:val="24"/>
          <w:szCs w:val="24"/>
        </w:rPr>
        <w:t>suicidal ideation from mental health deterioration.</w:t>
      </w:r>
    </w:p>
    <w:p w14:paraId="051213FB" w14:textId="5945702C" w:rsidR="00BF2FA3" w:rsidRPr="008E49A3" w:rsidRDefault="00BF2FA3" w:rsidP="008B08B2">
      <w:pPr>
        <w:pStyle w:val="ListParagraph"/>
        <w:numPr>
          <w:ilvl w:val="0"/>
          <w:numId w:val="5"/>
        </w:numPr>
        <w:spacing w:line="480" w:lineRule="auto"/>
        <w:ind w:firstLine="720"/>
        <w:rPr>
          <w:rFonts w:ascii="Times New Roman" w:hAnsi="Times New Roman" w:cs="Times New Roman"/>
          <w:b/>
          <w:sz w:val="24"/>
          <w:szCs w:val="24"/>
        </w:rPr>
      </w:pPr>
      <w:r w:rsidRPr="008E49A3">
        <w:rPr>
          <w:rFonts w:ascii="Times New Roman" w:hAnsi="Times New Roman" w:cs="Times New Roman"/>
          <w:b/>
          <w:sz w:val="24"/>
          <w:szCs w:val="24"/>
        </w:rPr>
        <w:t>Describe 2 exceptio</w:t>
      </w:r>
      <w:r w:rsidR="004D5E06" w:rsidRPr="008E49A3">
        <w:rPr>
          <w:rFonts w:ascii="Times New Roman" w:hAnsi="Times New Roman" w:cs="Times New Roman"/>
          <w:b/>
          <w:sz w:val="24"/>
          <w:szCs w:val="24"/>
        </w:rPr>
        <w:t>ns to consent within your state.</w:t>
      </w:r>
    </w:p>
    <w:p w14:paraId="57ED25B8" w14:textId="49742B20" w:rsidR="004D5E06" w:rsidRPr="008B08B2" w:rsidRDefault="004D5E06" w:rsidP="008B08B2">
      <w:pPr>
        <w:spacing w:line="480" w:lineRule="auto"/>
        <w:ind w:firstLine="720"/>
        <w:rPr>
          <w:rFonts w:ascii="Times New Roman" w:hAnsi="Times New Roman" w:cs="Times New Roman"/>
          <w:sz w:val="24"/>
          <w:szCs w:val="24"/>
        </w:rPr>
      </w:pPr>
      <w:r w:rsidRPr="008B08B2">
        <w:rPr>
          <w:rFonts w:ascii="Times New Roman" w:hAnsi="Times New Roman" w:cs="Times New Roman"/>
          <w:sz w:val="24"/>
          <w:szCs w:val="24"/>
        </w:rPr>
        <w:t xml:space="preserve">In my states, there are both mandated treatment and emergency exception. For mandated treatment, individual may receive order treatment for the following reasons. </w:t>
      </w:r>
      <w:r w:rsidR="008E49A3">
        <w:rPr>
          <w:rFonts w:ascii="Times New Roman" w:hAnsi="Times New Roman" w:cs="Times New Roman"/>
          <w:sz w:val="24"/>
          <w:szCs w:val="24"/>
        </w:rPr>
        <w:t>If a</w:t>
      </w:r>
      <w:r w:rsidRPr="008B08B2">
        <w:rPr>
          <w:rFonts w:ascii="Times New Roman" w:hAnsi="Times New Roman" w:cs="Times New Roman"/>
          <w:sz w:val="24"/>
          <w:szCs w:val="24"/>
        </w:rPr>
        <w:t xml:space="preserve"> person involved </w:t>
      </w:r>
      <w:r w:rsidR="008E49A3">
        <w:rPr>
          <w:rFonts w:ascii="Times New Roman" w:hAnsi="Times New Roman" w:cs="Times New Roman"/>
          <w:sz w:val="24"/>
          <w:szCs w:val="24"/>
        </w:rPr>
        <w:t>in child custody dispute, the</w:t>
      </w:r>
      <w:r w:rsidRPr="008B08B2">
        <w:rPr>
          <w:rFonts w:ascii="Times New Roman" w:hAnsi="Times New Roman" w:cs="Times New Roman"/>
          <w:sz w:val="24"/>
          <w:szCs w:val="24"/>
        </w:rPr>
        <w:t xml:space="preserve"> court may decide that either or both parents need to undergo psychiatric evaluation or health treatment. In case of sex crime, the state requires the offenders to undergo sex offender treatment. Emergency exception is offered in the basis that a person is unable to make any consent as a result of unconsciousness and is unable to communicate. Such exception allows the patients to have the required treatment.</w:t>
      </w:r>
    </w:p>
    <w:p w14:paraId="2A9744E8" w14:textId="77777777" w:rsidR="00BF2FA3" w:rsidRPr="008B08B2" w:rsidRDefault="00BF2FA3" w:rsidP="008B08B2">
      <w:pPr>
        <w:spacing w:line="480" w:lineRule="auto"/>
        <w:ind w:firstLine="720"/>
        <w:rPr>
          <w:rFonts w:ascii="Times New Roman" w:hAnsi="Times New Roman" w:cs="Times New Roman"/>
          <w:b/>
          <w:sz w:val="24"/>
          <w:szCs w:val="24"/>
        </w:rPr>
      </w:pPr>
    </w:p>
    <w:p w14:paraId="338A2AB5" w14:textId="77777777" w:rsidR="00367A24" w:rsidRPr="008B08B2" w:rsidRDefault="00367A24" w:rsidP="008B08B2">
      <w:pPr>
        <w:spacing w:after="160" w:line="480" w:lineRule="auto"/>
        <w:ind w:firstLine="720"/>
        <w:rPr>
          <w:rFonts w:ascii="Times New Roman" w:eastAsiaTheme="majorEastAsia" w:hAnsi="Times New Roman" w:cs="Times New Roman"/>
          <w:b/>
          <w:sz w:val="24"/>
          <w:szCs w:val="24"/>
        </w:rPr>
      </w:pPr>
      <w:r w:rsidRPr="008B08B2">
        <w:rPr>
          <w:rFonts w:ascii="Times New Roman" w:hAnsi="Times New Roman" w:cs="Times New Roman"/>
          <w:sz w:val="24"/>
          <w:szCs w:val="24"/>
        </w:rPr>
        <w:br w:type="page"/>
      </w:r>
    </w:p>
    <w:p w14:paraId="2EC84EAE" w14:textId="70A6369D" w:rsidR="00BF2FA3" w:rsidRPr="008B08B2" w:rsidRDefault="00BF2FA3" w:rsidP="00BF2FA3">
      <w:pPr>
        <w:pStyle w:val="Heading1"/>
        <w:rPr>
          <w:rFonts w:ascii="Times New Roman" w:hAnsi="Times New Roman" w:cs="Times New Roman"/>
          <w:sz w:val="24"/>
          <w:szCs w:val="24"/>
        </w:rPr>
      </w:pPr>
      <w:r w:rsidRPr="008B08B2">
        <w:rPr>
          <w:rFonts w:ascii="Times New Roman" w:hAnsi="Times New Roman" w:cs="Times New Roman"/>
          <w:sz w:val="24"/>
          <w:szCs w:val="24"/>
        </w:rPr>
        <w:t>Part 2</w:t>
      </w:r>
    </w:p>
    <w:p w14:paraId="48C8DE17" w14:textId="2F61A572" w:rsidR="00BF2FA3" w:rsidRPr="008B08B2" w:rsidRDefault="00BF2FA3" w:rsidP="00367A24">
      <w:pPr>
        <w:rPr>
          <w:rFonts w:ascii="Times New Roman" w:hAnsi="Times New Roman" w:cs="Times New Roman"/>
          <w:sz w:val="24"/>
          <w:szCs w:val="24"/>
        </w:rPr>
      </w:pPr>
      <w:r w:rsidRPr="008B08B2">
        <w:rPr>
          <w:rFonts w:ascii="Times New Roman" w:hAnsi="Times New Roman" w:cs="Times New Roman"/>
          <w:b/>
          <w:sz w:val="24"/>
          <w:szCs w:val="24"/>
        </w:rPr>
        <w:t>Complete</w:t>
      </w:r>
      <w:r w:rsidRPr="008B08B2">
        <w:rPr>
          <w:rFonts w:ascii="Times New Roman" w:hAnsi="Times New Roman" w:cs="Times New Roman"/>
          <w:sz w:val="24"/>
          <w:szCs w:val="24"/>
        </w:rPr>
        <w:t xml:space="preserve"> the chart below.</w:t>
      </w:r>
    </w:p>
    <w:tbl>
      <w:tblPr>
        <w:tblStyle w:val="TableGrid"/>
        <w:tblW w:w="0" w:type="auto"/>
        <w:tblBorders>
          <w:top w:val="single" w:sz="4" w:space="0" w:color="4D3733" w:themeColor="background1"/>
          <w:left w:val="single" w:sz="4" w:space="0" w:color="4D3733" w:themeColor="background1"/>
          <w:bottom w:val="single" w:sz="4" w:space="0" w:color="4D3733" w:themeColor="background1"/>
          <w:right w:val="single" w:sz="4" w:space="0" w:color="4D3733" w:themeColor="background1"/>
          <w:insideH w:val="single" w:sz="4" w:space="0" w:color="4D3733" w:themeColor="background1"/>
          <w:insideV w:val="single" w:sz="4" w:space="0" w:color="4D3733" w:themeColor="background1"/>
        </w:tblBorders>
        <w:tblCellMar>
          <w:top w:w="86" w:type="dxa"/>
          <w:left w:w="115" w:type="dxa"/>
          <w:bottom w:w="86" w:type="dxa"/>
          <w:right w:w="115" w:type="dxa"/>
        </w:tblCellMar>
        <w:tblLook w:val="0620" w:firstRow="1" w:lastRow="0" w:firstColumn="0" w:lastColumn="0" w:noHBand="1" w:noVBand="1"/>
        <w:tblDescription w:val="&quot;&quot;"/>
      </w:tblPr>
      <w:tblGrid>
        <w:gridCol w:w="1911"/>
        <w:gridCol w:w="1911"/>
        <w:gridCol w:w="1911"/>
        <w:gridCol w:w="1911"/>
        <w:gridCol w:w="1706"/>
      </w:tblGrid>
      <w:tr w:rsidR="00BF2FA3" w:rsidRPr="008B08B2" w14:paraId="32E1A475" w14:textId="67F03182" w:rsidTr="00DC4891">
        <w:trPr>
          <w:tblHeader/>
        </w:trPr>
        <w:tc>
          <w:tcPr>
            <w:tcW w:w="1911" w:type="dxa"/>
            <w:shd w:val="clear" w:color="auto" w:fill="EDEDED" w:themeFill="accent5"/>
          </w:tcPr>
          <w:p w14:paraId="7E8DB2CF" w14:textId="1CCD46BB" w:rsidR="00BF2FA3" w:rsidRPr="008B08B2" w:rsidRDefault="00BF2FA3" w:rsidP="00BF2FA3">
            <w:pPr>
              <w:spacing w:after="0"/>
              <w:jc w:val="center"/>
              <w:rPr>
                <w:rFonts w:ascii="Times New Roman" w:hAnsi="Times New Roman" w:cs="Times New Roman"/>
                <w:sz w:val="24"/>
                <w:szCs w:val="24"/>
              </w:rPr>
            </w:pPr>
            <w:r w:rsidRPr="008B08B2">
              <w:rPr>
                <w:rFonts w:ascii="Times New Roman" w:hAnsi="Times New Roman" w:cs="Times New Roman"/>
                <w:sz w:val="24"/>
                <w:szCs w:val="24"/>
              </w:rPr>
              <w:t>Identify 3 third-party payers.</w:t>
            </w:r>
          </w:p>
        </w:tc>
        <w:tc>
          <w:tcPr>
            <w:tcW w:w="1911" w:type="dxa"/>
            <w:shd w:val="clear" w:color="auto" w:fill="EDEDED" w:themeFill="accent5"/>
          </w:tcPr>
          <w:p w14:paraId="1D11B8FF" w14:textId="0A1F37E6" w:rsidR="00BF2FA3" w:rsidRPr="008B08B2" w:rsidRDefault="00BF2FA3" w:rsidP="00BF2FA3">
            <w:pPr>
              <w:spacing w:after="0"/>
              <w:jc w:val="center"/>
              <w:rPr>
                <w:rFonts w:ascii="Times New Roman" w:hAnsi="Times New Roman" w:cs="Times New Roman"/>
                <w:sz w:val="24"/>
                <w:szCs w:val="24"/>
              </w:rPr>
            </w:pPr>
            <w:r w:rsidRPr="008B08B2">
              <w:rPr>
                <w:rFonts w:ascii="Times New Roman" w:hAnsi="Times New Roman" w:cs="Times New Roman"/>
                <w:sz w:val="24"/>
                <w:szCs w:val="24"/>
              </w:rPr>
              <w:t>Describe the third-party payer (20 to 45 words).</w:t>
            </w:r>
          </w:p>
        </w:tc>
        <w:tc>
          <w:tcPr>
            <w:tcW w:w="1911" w:type="dxa"/>
            <w:shd w:val="clear" w:color="auto" w:fill="EDEDED" w:themeFill="accent5"/>
          </w:tcPr>
          <w:p w14:paraId="4BF2C39C" w14:textId="6AB01C5D" w:rsidR="00BF2FA3" w:rsidRPr="008B08B2" w:rsidRDefault="00BF2FA3" w:rsidP="00BF2FA3">
            <w:pPr>
              <w:spacing w:after="0"/>
              <w:jc w:val="center"/>
              <w:rPr>
                <w:rFonts w:ascii="Times New Roman" w:hAnsi="Times New Roman" w:cs="Times New Roman"/>
                <w:sz w:val="24"/>
                <w:szCs w:val="24"/>
              </w:rPr>
            </w:pPr>
            <w:r w:rsidRPr="008B08B2">
              <w:rPr>
                <w:rFonts w:ascii="Times New Roman" w:hAnsi="Times New Roman" w:cs="Times New Roman"/>
                <w:sz w:val="24"/>
                <w:szCs w:val="24"/>
              </w:rPr>
              <w:t>Describe the legal issues that regulate the third-party payer (45 to 90 words).</w:t>
            </w:r>
          </w:p>
        </w:tc>
        <w:tc>
          <w:tcPr>
            <w:tcW w:w="1911" w:type="dxa"/>
            <w:shd w:val="clear" w:color="auto" w:fill="EDEDED" w:themeFill="accent5"/>
          </w:tcPr>
          <w:p w14:paraId="3B47219F" w14:textId="013D0344" w:rsidR="00BF2FA3" w:rsidRPr="008B08B2" w:rsidRDefault="00BF2FA3" w:rsidP="00BF2FA3">
            <w:pPr>
              <w:spacing w:after="0"/>
              <w:jc w:val="center"/>
              <w:rPr>
                <w:rFonts w:ascii="Times New Roman" w:hAnsi="Times New Roman" w:cs="Times New Roman"/>
                <w:sz w:val="24"/>
                <w:szCs w:val="24"/>
              </w:rPr>
            </w:pPr>
            <w:r w:rsidRPr="008B08B2">
              <w:rPr>
                <w:rFonts w:ascii="Times New Roman" w:hAnsi="Times New Roman" w:cs="Times New Roman"/>
                <w:sz w:val="24"/>
                <w:szCs w:val="24"/>
              </w:rPr>
              <w:t>Describe an applicable law that regulates the third-party payer (45 to 90 words).</w:t>
            </w:r>
          </w:p>
        </w:tc>
        <w:tc>
          <w:tcPr>
            <w:tcW w:w="1706" w:type="dxa"/>
            <w:shd w:val="clear" w:color="auto" w:fill="EDEDED" w:themeFill="accent5"/>
          </w:tcPr>
          <w:p w14:paraId="04A82810" w14:textId="1CB2F543" w:rsidR="00BF2FA3" w:rsidRPr="008B08B2" w:rsidRDefault="00BF2FA3" w:rsidP="00BF2FA3">
            <w:pPr>
              <w:spacing w:after="0"/>
              <w:jc w:val="center"/>
              <w:rPr>
                <w:rFonts w:ascii="Times New Roman" w:hAnsi="Times New Roman" w:cs="Times New Roman"/>
                <w:sz w:val="24"/>
                <w:szCs w:val="24"/>
              </w:rPr>
            </w:pPr>
            <w:r w:rsidRPr="008B08B2">
              <w:rPr>
                <w:rFonts w:ascii="Times New Roman" w:hAnsi="Times New Roman" w:cs="Times New Roman"/>
                <w:sz w:val="24"/>
                <w:szCs w:val="24"/>
              </w:rPr>
              <w:t>Describe the impact that the legal issue and applicable laws have on the third-party payers (45 to 90 words).</w:t>
            </w:r>
          </w:p>
        </w:tc>
      </w:tr>
      <w:tr w:rsidR="00BF2FA3" w:rsidRPr="008B08B2" w14:paraId="0F7A8F40" w14:textId="4215AD80" w:rsidTr="00BF2FA3">
        <w:tc>
          <w:tcPr>
            <w:tcW w:w="1911" w:type="dxa"/>
            <w:vAlign w:val="center"/>
          </w:tcPr>
          <w:p w14:paraId="156EF23A" w14:textId="00CF42E7" w:rsidR="00BF2FA3" w:rsidRPr="008B08B2" w:rsidRDefault="00BF2FA3" w:rsidP="00BF2FA3">
            <w:pPr>
              <w:spacing w:after="0"/>
              <w:rPr>
                <w:rFonts w:ascii="Times New Roman" w:hAnsi="Times New Roman" w:cs="Times New Roman"/>
                <w:sz w:val="24"/>
                <w:szCs w:val="24"/>
              </w:rPr>
            </w:pPr>
            <w:r w:rsidRPr="008B08B2">
              <w:rPr>
                <w:rFonts w:ascii="Times New Roman" w:hAnsi="Times New Roman" w:cs="Times New Roman"/>
                <w:sz w:val="24"/>
                <w:szCs w:val="24"/>
              </w:rPr>
              <w:t>1.</w:t>
            </w:r>
            <w:r w:rsidR="007F408C" w:rsidRPr="008B08B2">
              <w:rPr>
                <w:rFonts w:ascii="Times New Roman" w:hAnsi="Times New Roman" w:cs="Times New Roman"/>
                <w:sz w:val="24"/>
                <w:szCs w:val="24"/>
              </w:rPr>
              <w:t>Medicare</w:t>
            </w:r>
          </w:p>
        </w:tc>
        <w:tc>
          <w:tcPr>
            <w:tcW w:w="1911" w:type="dxa"/>
            <w:vAlign w:val="center"/>
          </w:tcPr>
          <w:p w14:paraId="5C4F46C1" w14:textId="1BF41100" w:rsidR="00BF2FA3" w:rsidRPr="008B08B2" w:rsidRDefault="007F408C" w:rsidP="00BF2FA3">
            <w:pPr>
              <w:spacing w:after="0"/>
              <w:rPr>
                <w:rFonts w:ascii="Times New Roman" w:hAnsi="Times New Roman" w:cs="Times New Roman"/>
                <w:sz w:val="24"/>
                <w:szCs w:val="24"/>
              </w:rPr>
            </w:pPr>
            <w:r w:rsidRPr="008B08B2">
              <w:rPr>
                <w:rFonts w:ascii="Times New Roman" w:hAnsi="Times New Roman" w:cs="Times New Roman"/>
                <w:sz w:val="24"/>
                <w:szCs w:val="24"/>
              </w:rPr>
              <w:t xml:space="preserve"> Medicare is a third party payer that is referred to as an insurance program offering a portion of payment to the cost of a medical care for people over the age of 65 or the disabled. Besides, it is eligible for social security benefits</w:t>
            </w:r>
          </w:p>
        </w:tc>
        <w:tc>
          <w:tcPr>
            <w:tcW w:w="1911" w:type="dxa"/>
            <w:vAlign w:val="center"/>
          </w:tcPr>
          <w:p w14:paraId="685A2FFB" w14:textId="2DC1641C" w:rsidR="00BF2FA3" w:rsidRPr="008B08B2" w:rsidRDefault="00BF2FA3" w:rsidP="00BF2FA3">
            <w:pPr>
              <w:spacing w:after="0"/>
              <w:rPr>
                <w:rFonts w:ascii="Times New Roman" w:hAnsi="Times New Roman" w:cs="Times New Roman"/>
                <w:sz w:val="24"/>
                <w:szCs w:val="24"/>
              </w:rPr>
            </w:pPr>
          </w:p>
        </w:tc>
        <w:tc>
          <w:tcPr>
            <w:tcW w:w="1911" w:type="dxa"/>
            <w:vAlign w:val="center"/>
          </w:tcPr>
          <w:p w14:paraId="66EF902A" w14:textId="6FDBD052" w:rsidR="00BF2FA3" w:rsidRPr="008B08B2" w:rsidRDefault="007942D2" w:rsidP="00BF2FA3">
            <w:pPr>
              <w:spacing w:after="0"/>
              <w:rPr>
                <w:rFonts w:ascii="Times New Roman" w:hAnsi="Times New Roman" w:cs="Times New Roman"/>
                <w:sz w:val="24"/>
                <w:szCs w:val="24"/>
              </w:rPr>
            </w:pPr>
            <w:r w:rsidRPr="008B08B2">
              <w:rPr>
                <w:rFonts w:ascii="Times New Roman" w:hAnsi="Times New Roman" w:cs="Times New Roman"/>
                <w:sz w:val="24"/>
                <w:szCs w:val="24"/>
              </w:rPr>
              <w:t xml:space="preserve">Stark law regulates physician self-referrals for Medicare and Medicaid patients. The law prohibits them from referring patients to another specialist or doctor that is related to the </w:t>
            </w:r>
            <w:r w:rsidR="008B08B2" w:rsidRPr="008B08B2">
              <w:rPr>
                <w:rFonts w:ascii="Times New Roman" w:hAnsi="Times New Roman" w:cs="Times New Roman"/>
                <w:sz w:val="24"/>
                <w:szCs w:val="24"/>
              </w:rPr>
              <w:t>physician (Kamel et al., 2020)</w:t>
            </w:r>
            <w:r w:rsidRPr="008B08B2">
              <w:rPr>
                <w:rFonts w:ascii="Times New Roman" w:hAnsi="Times New Roman" w:cs="Times New Roman"/>
                <w:sz w:val="24"/>
                <w:szCs w:val="24"/>
              </w:rPr>
              <w:t>. This regulation is meant to keep specialist and doctors from making profit off of referrals and in the process lower over-utilization of services to aid in keeping healthcare costs down.</w:t>
            </w:r>
          </w:p>
        </w:tc>
        <w:tc>
          <w:tcPr>
            <w:tcW w:w="1706" w:type="dxa"/>
          </w:tcPr>
          <w:p w14:paraId="54ADF079" w14:textId="69733975" w:rsidR="00BF2FA3" w:rsidRPr="008B08B2" w:rsidRDefault="00CD4E4D" w:rsidP="00BF2FA3">
            <w:pPr>
              <w:spacing w:after="0"/>
              <w:rPr>
                <w:rFonts w:ascii="Times New Roman" w:hAnsi="Times New Roman" w:cs="Times New Roman"/>
                <w:sz w:val="24"/>
                <w:szCs w:val="24"/>
              </w:rPr>
            </w:pPr>
            <w:r w:rsidRPr="008B08B2">
              <w:rPr>
                <w:rFonts w:ascii="Times New Roman" w:hAnsi="Times New Roman" w:cs="Times New Roman"/>
                <w:sz w:val="24"/>
                <w:szCs w:val="24"/>
              </w:rPr>
              <w:t>Medicare is a federally funded program that only has so much money set aside. Medicare ends up paying out reimbursement for referral’s that may not be needed, that money takes away from the next person that may need it.</w:t>
            </w:r>
          </w:p>
        </w:tc>
      </w:tr>
      <w:tr w:rsidR="00BF2FA3" w:rsidRPr="008B08B2" w14:paraId="1FACC36E" w14:textId="2FEF3E28" w:rsidTr="00BF2FA3">
        <w:tc>
          <w:tcPr>
            <w:tcW w:w="1911" w:type="dxa"/>
            <w:vAlign w:val="center"/>
          </w:tcPr>
          <w:p w14:paraId="6BD6449E" w14:textId="2AB756E4" w:rsidR="00BF2FA3" w:rsidRPr="008B08B2" w:rsidRDefault="00BF2FA3" w:rsidP="00BF2FA3">
            <w:pPr>
              <w:spacing w:after="0"/>
              <w:rPr>
                <w:rFonts w:ascii="Times New Roman" w:hAnsi="Times New Roman" w:cs="Times New Roman"/>
                <w:sz w:val="24"/>
                <w:szCs w:val="24"/>
              </w:rPr>
            </w:pPr>
            <w:r w:rsidRPr="008B08B2">
              <w:rPr>
                <w:rFonts w:ascii="Times New Roman" w:hAnsi="Times New Roman" w:cs="Times New Roman"/>
                <w:sz w:val="24"/>
                <w:szCs w:val="24"/>
              </w:rPr>
              <w:t>2.</w:t>
            </w:r>
            <w:r w:rsidR="007F408C" w:rsidRPr="008B08B2">
              <w:rPr>
                <w:rFonts w:ascii="Times New Roman" w:hAnsi="Times New Roman" w:cs="Times New Roman"/>
                <w:sz w:val="24"/>
                <w:szCs w:val="24"/>
              </w:rPr>
              <w:t>Medicaid</w:t>
            </w:r>
          </w:p>
        </w:tc>
        <w:tc>
          <w:tcPr>
            <w:tcW w:w="1911" w:type="dxa"/>
            <w:vAlign w:val="center"/>
          </w:tcPr>
          <w:p w14:paraId="16134E59" w14:textId="511DFF01" w:rsidR="00BF2FA3" w:rsidRPr="008B08B2" w:rsidRDefault="007F408C" w:rsidP="007F408C">
            <w:pPr>
              <w:spacing w:after="0"/>
              <w:rPr>
                <w:rFonts w:ascii="Times New Roman" w:hAnsi="Times New Roman" w:cs="Times New Roman"/>
                <w:sz w:val="24"/>
                <w:szCs w:val="24"/>
              </w:rPr>
            </w:pPr>
            <w:r w:rsidRPr="008B08B2">
              <w:rPr>
                <w:rFonts w:ascii="Times New Roman" w:hAnsi="Times New Roman" w:cs="Times New Roman"/>
                <w:sz w:val="24"/>
                <w:szCs w:val="24"/>
              </w:rPr>
              <w:t xml:space="preserve">Medicaid refers to an insurance program used to aid low-income individuals and families. It is one the largest payers of healthcare industry. It also offers medical coverage to children belonging to families that are struggle to keep up with Medicaid but do not have enough money to provide private insurance. </w:t>
            </w:r>
          </w:p>
        </w:tc>
        <w:tc>
          <w:tcPr>
            <w:tcW w:w="1911" w:type="dxa"/>
            <w:vAlign w:val="center"/>
          </w:tcPr>
          <w:p w14:paraId="7DB16400" w14:textId="6606E30D" w:rsidR="00BF2FA3" w:rsidRPr="008B08B2" w:rsidRDefault="00E50178" w:rsidP="00BF2FA3">
            <w:pPr>
              <w:spacing w:after="0"/>
              <w:rPr>
                <w:rFonts w:ascii="Times New Roman" w:hAnsi="Times New Roman" w:cs="Times New Roman"/>
                <w:sz w:val="24"/>
                <w:szCs w:val="24"/>
              </w:rPr>
            </w:pPr>
            <w:r w:rsidRPr="008B08B2">
              <w:rPr>
                <w:rFonts w:ascii="Times New Roman" w:hAnsi="Times New Roman" w:cs="Times New Roman"/>
                <w:sz w:val="24"/>
                <w:szCs w:val="24"/>
              </w:rPr>
              <w:t>Contracts and programs that are federally funded are protected by the False Claims.</w:t>
            </w:r>
            <w:r w:rsidR="00CD4E4D" w:rsidRPr="008B08B2">
              <w:rPr>
                <w:rFonts w:ascii="Times New Roman" w:hAnsi="Times New Roman" w:cs="Times New Roman"/>
                <w:sz w:val="24"/>
                <w:szCs w:val="24"/>
              </w:rPr>
              <w:t xml:space="preserve"> The legal issues regulate both Medicare and Medicaid.</w:t>
            </w:r>
            <w:r w:rsidRPr="008B08B2">
              <w:rPr>
                <w:rFonts w:ascii="Times New Roman" w:hAnsi="Times New Roman" w:cs="Times New Roman"/>
                <w:sz w:val="24"/>
                <w:szCs w:val="24"/>
              </w:rPr>
              <w:t xml:space="preserve"> This act protects these programs from fraudulent claims submitted by physicians. The federal government is enforcing strict civil penalties as well as jail time.</w:t>
            </w:r>
          </w:p>
        </w:tc>
        <w:tc>
          <w:tcPr>
            <w:tcW w:w="1911" w:type="dxa"/>
            <w:vAlign w:val="center"/>
          </w:tcPr>
          <w:p w14:paraId="195652A2" w14:textId="77777777" w:rsidR="00BF2FA3" w:rsidRPr="008B08B2" w:rsidRDefault="00BF2FA3" w:rsidP="00BF2FA3">
            <w:pPr>
              <w:spacing w:after="0"/>
              <w:rPr>
                <w:rFonts w:ascii="Times New Roman" w:hAnsi="Times New Roman" w:cs="Times New Roman"/>
                <w:sz w:val="24"/>
                <w:szCs w:val="24"/>
              </w:rPr>
            </w:pPr>
          </w:p>
        </w:tc>
        <w:tc>
          <w:tcPr>
            <w:tcW w:w="1706" w:type="dxa"/>
          </w:tcPr>
          <w:p w14:paraId="0830431A" w14:textId="1DA954E4" w:rsidR="00BF2FA3" w:rsidRPr="008B08B2" w:rsidRDefault="00CD4E4D" w:rsidP="00BF2FA3">
            <w:pPr>
              <w:spacing w:after="0"/>
              <w:rPr>
                <w:rFonts w:ascii="Times New Roman" w:hAnsi="Times New Roman" w:cs="Times New Roman"/>
                <w:sz w:val="24"/>
                <w:szCs w:val="24"/>
              </w:rPr>
            </w:pPr>
            <w:r w:rsidRPr="008B08B2">
              <w:rPr>
                <w:rFonts w:ascii="Times New Roman" w:hAnsi="Times New Roman" w:cs="Times New Roman"/>
                <w:sz w:val="24"/>
                <w:szCs w:val="24"/>
              </w:rPr>
              <w:t xml:space="preserve">Physicians that abuse federally funded programs are essentially taking resources away from beneficiaries that need the services offered. It is a violation of the FCA for any healthcare </w:t>
            </w:r>
          </w:p>
        </w:tc>
      </w:tr>
      <w:tr w:rsidR="00BF2FA3" w:rsidRPr="008B08B2" w14:paraId="17BC66BE" w14:textId="77777777" w:rsidTr="00BF2FA3">
        <w:tc>
          <w:tcPr>
            <w:tcW w:w="1911" w:type="dxa"/>
            <w:vAlign w:val="center"/>
          </w:tcPr>
          <w:p w14:paraId="41804C82" w14:textId="4FD0A663" w:rsidR="00BF2FA3" w:rsidRPr="008B08B2" w:rsidRDefault="00BF2FA3" w:rsidP="00BF2FA3">
            <w:pPr>
              <w:spacing w:after="0"/>
              <w:rPr>
                <w:rFonts w:ascii="Times New Roman" w:hAnsi="Times New Roman" w:cs="Times New Roman"/>
                <w:sz w:val="24"/>
                <w:szCs w:val="24"/>
              </w:rPr>
            </w:pPr>
            <w:r w:rsidRPr="008B08B2">
              <w:rPr>
                <w:rFonts w:ascii="Times New Roman" w:hAnsi="Times New Roman" w:cs="Times New Roman"/>
                <w:sz w:val="24"/>
                <w:szCs w:val="24"/>
              </w:rPr>
              <w:t xml:space="preserve">3. </w:t>
            </w:r>
            <w:r w:rsidR="00412993" w:rsidRPr="008B08B2">
              <w:rPr>
                <w:rFonts w:ascii="Times New Roman" w:hAnsi="Times New Roman" w:cs="Times New Roman"/>
                <w:sz w:val="24"/>
                <w:szCs w:val="24"/>
              </w:rPr>
              <w:t>Health maintenance organizations</w:t>
            </w:r>
          </w:p>
        </w:tc>
        <w:tc>
          <w:tcPr>
            <w:tcW w:w="1911" w:type="dxa"/>
            <w:vAlign w:val="center"/>
          </w:tcPr>
          <w:p w14:paraId="7203F868" w14:textId="1C4C5D90" w:rsidR="00BF2FA3" w:rsidRPr="008B08B2" w:rsidRDefault="007F408C" w:rsidP="00BF2FA3">
            <w:pPr>
              <w:spacing w:after="0"/>
              <w:rPr>
                <w:rFonts w:ascii="Times New Roman" w:hAnsi="Times New Roman" w:cs="Times New Roman"/>
                <w:sz w:val="24"/>
                <w:szCs w:val="24"/>
              </w:rPr>
            </w:pPr>
            <w:r w:rsidRPr="008B08B2">
              <w:rPr>
                <w:rFonts w:ascii="Times New Roman" w:hAnsi="Times New Roman" w:cs="Times New Roman"/>
                <w:sz w:val="24"/>
                <w:szCs w:val="24"/>
              </w:rPr>
              <w:t xml:space="preserve">HMO are managed care plan offering different services for a certain set fee per patient. Once </w:t>
            </w:r>
            <w:r w:rsidR="00C71D4C" w:rsidRPr="008B08B2">
              <w:rPr>
                <w:rFonts w:ascii="Times New Roman" w:hAnsi="Times New Roman" w:cs="Times New Roman"/>
                <w:sz w:val="24"/>
                <w:szCs w:val="24"/>
              </w:rPr>
              <w:t>a patient has acquired HMO, they must see a primary care physician and the doctor must manage all the patients’ healthcare. The patients are referred to specialists by a PCP if a need arises in that network. Out of network care is not covered. In case of one, the patient is responsible for all the cost to be incurred.</w:t>
            </w:r>
          </w:p>
        </w:tc>
        <w:tc>
          <w:tcPr>
            <w:tcW w:w="1911" w:type="dxa"/>
            <w:vAlign w:val="center"/>
          </w:tcPr>
          <w:p w14:paraId="1D5D9E2D" w14:textId="41135CDA" w:rsidR="00BF2FA3" w:rsidRPr="008B08B2" w:rsidRDefault="00FA11DE" w:rsidP="00BF2FA3">
            <w:pPr>
              <w:spacing w:after="0"/>
              <w:rPr>
                <w:rFonts w:ascii="Times New Roman" w:hAnsi="Times New Roman" w:cs="Times New Roman"/>
                <w:sz w:val="24"/>
                <w:szCs w:val="24"/>
              </w:rPr>
            </w:pPr>
            <w:r w:rsidRPr="008B08B2">
              <w:rPr>
                <w:rFonts w:ascii="Times New Roman" w:hAnsi="Times New Roman" w:cs="Times New Roman"/>
                <w:sz w:val="24"/>
                <w:szCs w:val="24"/>
              </w:rPr>
              <w:t xml:space="preserve">The federal and state regulations offers regulations to HMO based on National Association Commissioners HMO Model Act. HMO </w:t>
            </w:r>
            <w:r w:rsidR="00CD4E4D" w:rsidRPr="008B08B2">
              <w:rPr>
                <w:rFonts w:ascii="Times New Roman" w:hAnsi="Times New Roman" w:cs="Times New Roman"/>
                <w:sz w:val="24"/>
                <w:szCs w:val="24"/>
              </w:rPr>
              <w:t>is required to assume full financial risk on the prospective basis for basic health services.</w:t>
            </w:r>
          </w:p>
        </w:tc>
        <w:tc>
          <w:tcPr>
            <w:tcW w:w="1911" w:type="dxa"/>
            <w:vAlign w:val="center"/>
          </w:tcPr>
          <w:p w14:paraId="2B89E982" w14:textId="1E785F41" w:rsidR="00BF2FA3" w:rsidRPr="008B08B2" w:rsidRDefault="00FA11DE" w:rsidP="00BF2FA3">
            <w:pPr>
              <w:spacing w:after="0"/>
              <w:rPr>
                <w:rFonts w:ascii="Times New Roman" w:hAnsi="Times New Roman" w:cs="Times New Roman"/>
                <w:sz w:val="24"/>
                <w:szCs w:val="24"/>
              </w:rPr>
            </w:pPr>
            <w:r w:rsidRPr="008B08B2">
              <w:rPr>
                <w:rFonts w:ascii="Times New Roman" w:hAnsi="Times New Roman" w:cs="Times New Roman"/>
                <w:sz w:val="24"/>
                <w:szCs w:val="24"/>
              </w:rPr>
              <w:t>On the federal level, the Health maintenance organization Act law regulates HMO. The law requires that members go to doctors and specialist and must get referrals to see other specialists</w:t>
            </w:r>
          </w:p>
        </w:tc>
        <w:tc>
          <w:tcPr>
            <w:tcW w:w="1706" w:type="dxa"/>
          </w:tcPr>
          <w:p w14:paraId="64CFECCD" w14:textId="77777777" w:rsidR="00BF2FA3" w:rsidRPr="008B08B2" w:rsidRDefault="00BF2FA3" w:rsidP="00BF2FA3">
            <w:pPr>
              <w:spacing w:after="0"/>
              <w:rPr>
                <w:rFonts w:ascii="Times New Roman" w:hAnsi="Times New Roman" w:cs="Times New Roman"/>
                <w:sz w:val="24"/>
                <w:szCs w:val="24"/>
              </w:rPr>
            </w:pPr>
          </w:p>
        </w:tc>
      </w:tr>
    </w:tbl>
    <w:p w14:paraId="0CB25ECB" w14:textId="77777777" w:rsidR="00BF2FA3" w:rsidRPr="008B08B2" w:rsidRDefault="00BF2FA3" w:rsidP="00BF2FA3">
      <w:pPr>
        <w:pStyle w:val="AssignmentsLevel1"/>
        <w:rPr>
          <w:rFonts w:ascii="Times New Roman" w:hAnsi="Times New Roman" w:cs="Times New Roman"/>
          <w:b/>
          <w:bCs/>
          <w:sz w:val="24"/>
          <w:szCs w:val="24"/>
        </w:rPr>
      </w:pPr>
    </w:p>
    <w:p w14:paraId="14A400F4" w14:textId="0F246F9A" w:rsidR="008B08B2" w:rsidRDefault="008B08B2" w:rsidP="008B08B2">
      <w:pPr>
        <w:tabs>
          <w:tab w:val="left" w:pos="2250"/>
        </w:tabs>
        <w:rPr>
          <w:rFonts w:ascii="Times New Roman" w:hAnsi="Times New Roman" w:cs="Times New Roman"/>
          <w:sz w:val="24"/>
          <w:szCs w:val="24"/>
        </w:rPr>
      </w:pPr>
      <w:r>
        <w:rPr>
          <w:rFonts w:ascii="Times New Roman" w:hAnsi="Times New Roman" w:cs="Times New Roman"/>
          <w:sz w:val="24"/>
          <w:szCs w:val="24"/>
        </w:rPr>
        <w:tab/>
      </w:r>
    </w:p>
    <w:p w14:paraId="03DA0D3D" w14:textId="77777777" w:rsidR="008B08B2" w:rsidRDefault="008B08B2" w:rsidP="008B08B2">
      <w:pPr>
        <w:tabs>
          <w:tab w:val="left" w:pos="2250"/>
        </w:tabs>
        <w:rPr>
          <w:rFonts w:ascii="Times New Roman" w:hAnsi="Times New Roman" w:cs="Times New Roman"/>
          <w:sz w:val="24"/>
          <w:szCs w:val="24"/>
        </w:rPr>
      </w:pPr>
    </w:p>
    <w:p w14:paraId="5F3A89AA" w14:textId="77777777" w:rsidR="008B08B2" w:rsidRDefault="008B08B2" w:rsidP="008B08B2">
      <w:pPr>
        <w:tabs>
          <w:tab w:val="left" w:pos="2250"/>
        </w:tabs>
        <w:rPr>
          <w:rFonts w:ascii="Times New Roman" w:hAnsi="Times New Roman" w:cs="Times New Roman"/>
          <w:sz w:val="24"/>
          <w:szCs w:val="24"/>
        </w:rPr>
      </w:pPr>
    </w:p>
    <w:p w14:paraId="63C03AEA" w14:textId="77777777" w:rsidR="008B08B2" w:rsidRDefault="008B08B2" w:rsidP="008B08B2">
      <w:pPr>
        <w:tabs>
          <w:tab w:val="left" w:pos="2250"/>
        </w:tabs>
        <w:rPr>
          <w:rFonts w:ascii="Times New Roman" w:hAnsi="Times New Roman" w:cs="Times New Roman"/>
          <w:sz w:val="24"/>
          <w:szCs w:val="24"/>
        </w:rPr>
      </w:pPr>
    </w:p>
    <w:p w14:paraId="60A0FC05" w14:textId="77777777" w:rsidR="008B08B2" w:rsidRDefault="008B08B2" w:rsidP="008B08B2">
      <w:pPr>
        <w:tabs>
          <w:tab w:val="left" w:pos="2250"/>
        </w:tabs>
        <w:rPr>
          <w:rFonts w:ascii="Times New Roman" w:hAnsi="Times New Roman" w:cs="Times New Roman"/>
          <w:sz w:val="24"/>
          <w:szCs w:val="24"/>
        </w:rPr>
      </w:pPr>
    </w:p>
    <w:p w14:paraId="1AF143EE" w14:textId="77777777" w:rsidR="008B08B2" w:rsidRDefault="008B08B2" w:rsidP="008B08B2">
      <w:pPr>
        <w:tabs>
          <w:tab w:val="left" w:pos="2250"/>
        </w:tabs>
        <w:rPr>
          <w:rFonts w:ascii="Times New Roman" w:hAnsi="Times New Roman" w:cs="Times New Roman"/>
          <w:sz w:val="24"/>
          <w:szCs w:val="24"/>
        </w:rPr>
      </w:pPr>
    </w:p>
    <w:p w14:paraId="34C7BB75" w14:textId="77777777" w:rsidR="008B08B2" w:rsidRDefault="008B08B2" w:rsidP="008B08B2">
      <w:pPr>
        <w:tabs>
          <w:tab w:val="left" w:pos="2250"/>
        </w:tabs>
        <w:rPr>
          <w:rFonts w:ascii="Times New Roman" w:hAnsi="Times New Roman" w:cs="Times New Roman"/>
          <w:sz w:val="24"/>
          <w:szCs w:val="24"/>
        </w:rPr>
      </w:pPr>
    </w:p>
    <w:p w14:paraId="6D6F419B" w14:textId="77777777" w:rsidR="008B08B2" w:rsidRDefault="008B08B2" w:rsidP="008B08B2">
      <w:pPr>
        <w:tabs>
          <w:tab w:val="left" w:pos="2250"/>
        </w:tabs>
        <w:rPr>
          <w:rFonts w:ascii="Times New Roman" w:hAnsi="Times New Roman" w:cs="Times New Roman"/>
          <w:sz w:val="24"/>
          <w:szCs w:val="24"/>
        </w:rPr>
      </w:pPr>
    </w:p>
    <w:p w14:paraId="6034C9CC" w14:textId="77777777" w:rsidR="008B08B2" w:rsidRDefault="008B08B2" w:rsidP="008B08B2">
      <w:pPr>
        <w:tabs>
          <w:tab w:val="left" w:pos="2250"/>
        </w:tabs>
        <w:rPr>
          <w:rFonts w:ascii="Times New Roman" w:hAnsi="Times New Roman" w:cs="Times New Roman"/>
          <w:sz w:val="24"/>
          <w:szCs w:val="24"/>
        </w:rPr>
      </w:pPr>
    </w:p>
    <w:p w14:paraId="642E85ED" w14:textId="77777777" w:rsidR="008B08B2" w:rsidRDefault="008B08B2" w:rsidP="008B08B2">
      <w:pPr>
        <w:tabs>
          <w:tab w:val="left" w:pos="2250"/>
        </w:tabs>
        <w:rPr>
          <w:rFonts w:ascii="Times New Roman" w:hAnsi="Times New Roman" w:cs="Times New Roman"/>
          <w:sz w:val="24"/>
          <w:szCs w:val="24"/>
        </w:rPr>
      </w:pPr>
    </w:p>
    <w:p w14:paraId="67D4C7BC" w14:textId="77777777" w:rsidR="008B08B2" w:rsidRDefault="008B08B2" w:rsidP="008B08B2">
      <w:pPr>
        <w:tabs>
          <w:tab w:val="left" w:pos="2250"/>
        </w:tabs>
        <w:rPr>
          <w:rFonts w:ascii="Times New Roman" w:hAnsi="Times New Roman" w:cs="Times New Roman"/>
          <w:sz w:val="24"/>
          <w:szCs w:val="24"/>
        </w:rPr>
      </w:pPr>
    </w:p>
    <w:p w14:paraId="68FF740D" w14:textId="77777777" w:rsidR="008B08B2" w:rsidRDefault="008B08B2" w:rsidP="008B08B2">
      <w:pPr>
        <w:tabs>
          <w:tab w:val="left" w:pos="2250"/>
        </w:tabs>
        <w:rPr>
          <w:rFonts w:ascii="Times New Roman" w:hAnsi="Times New Roman" w:cs="Times New Roman"/>
          <w:sz w:val="24"/>
          <w:szCs w:val="24"/>
        </w:rPr>
      </w:pPr>
    </w:p>
    <w:p w14:paraId="2112AB3A" w14:textId="77777777" w:rsidR="008B08B2" w:rsidRPr="008B08B2" w:rsidRDefault="008B08B2" w:rsidP="008B08B2">
      <w:pPr>
        <w:tabs>
          <w:tab w:val="left" w:pos="2250"/>
        </w:tabs>
        <w:rPr>
          <w:rFonts w:ascii="Times New Roman" w:hAnsi="Times New Roman" w:cs="Times New Roman"/>
          <w:sz w:val="24"/>
          <w:szCs w:val="24"/>
        </w:rPr>
      </w:pPr>
    </w:p>
    <w:p w14:paraId="72C551C0" w14:textId="77777777" w:rsidR="008B08B2" w:rsidRPr="008B08B2" w:rsidRDefault="008B08B2" w:rsidP="00BF2FA3">
      <w:pPr>
        <w:jc w:val="center"/>
        <w:rPr>
          <w:rFonts w:ascii="Times New Roman" w:hAnsi="Times New Roman" w:cs="Times New Roman"/>
          <w:sz w:val="24"/>
          <w:szCs w:val="24"/>
        </w:rPr>
      </w:pPr>
    </w:p>
    <w:p w14:paraId="443FCF6B" w14:textId="57660725" w:rsidR="008B08B2" w:rsidRPr="00935EAA" w:rsidRDefault="00BF2FA3" w:rsidP="00935EAA">
      <w:pPr>
        <w:jc w:val="center"/>
        <w:rPr>
          <w:rFonts w:ascii="Times New Roman" w:hAnsi="Times New Roman" w:cs="Times New Roman"/>
          <w:color w:val="auto"/>
          <w:sz w:val="24"/>
          <w:szCs w:val="24"/>
        </w:rPr>
      </w:pPr>
      <w:bookmarkStart w:id="1" w:name="_GoBack"/>
      <w:bookmarkEnd w:id="1"/>
      <w:r w:rsidRPr="00935EAA">
        <w:rPr>
          <w:rFonts w:ascii="Times New Roman" w:hAnsi="Times New Roman" w:cs="Times New Roman"/>
          <w:bCs/>
          <w:color w:val="auto"/>
          <w:sz w:val="24"/>
          <w:szCs w:val="24"/>
        </w:rPr>
        <w:t>References</w:t>
      </w:r>
    </w:p>
    <w:p w14:paraId="36D69BE6" w14:textId="15E53B23" w:rsidR="008B08B2" w:rsidRPr="008B08B2" w:rsidRDefault="008B08B2" w:rsidP="008B08B2">
      <w:pPr>
        <w:spacing w:after="0" w:line="480" w:lineRule="auto"/>
        <w:ind w:left="720" w:hanging="720"/>
        <w:rPr>
          <w:rFonts w:ascii="Times New Roman" w:eastAsia="Times New Roman" w:hAnsi="Times New Roman" w:cs="Times New Roman"/>
          <w:color w:val="auto"/>
          <w:sz w:val="24"/>
          <w:szCs w:val="24"/>
        </w:rPr>
      </w:pPr>
      <w:r w:rsidRPr="008B08B2">
        <w:rPr>
          <w:rFonts w:ascii="Times New Roman" w:eastAsia="Times New Roman" w:hAnsi="Times New Roman" w:cs="Times New Roman"/>
          <w:color w:val="auto"/>
          <w:sz w:val="24"/>
          <w:szCs w:val="24"/>
        </w:rPr>
        <w:t xml:space="preserve">Correia-Melo, F. S., Leal, G. C., Carvalho, M. S., Jesus-Nunes, A. P., Ferreira, C. B., Vieira, F., ... &amp; Quarantini, L. C. (2018). Comparative study of esketamine and racemic ketamine in treatment-resistant depression: protocol for a non-inferiority clinical trial. </w:t>
      </w:r>
      <w:r w:rsidRPr="008B08B2">
        <w:rPr>
          <w:rFonts w:ascii="Times New Roman" w:eastAsia="Times New Roman" w:hAnsi="Times New Roman" w:cs="Times New Roman"/>
          <w:i/>
          <w:iCs/>
          <w:color w:val="auto"/>
          <w:sz w:val="24"/>
          <w:szCs w:val="24"/>
        </w:rPr>
        <w:t>Medicine</w:t>
      </w:r>
      <w:r w:rsidRPr="008B08B2">
        <w:rPr>
          <w:rFonts w:ascii="Times New Roman" w:eastAsia="Times New Roman" w:hAnsi="Times New Roman" w:cs="Times New Roman"/>
          <w:color w:val="auto"/>
          <w:sz w:val="24"/>
          <w:szCs w:val="24"/>
        </w:rPr>
        <w:t xml:space="preserve">, </w:t>
      </w:r>
      <w:r w:rsidRPr="008B08B2">
        <w:rPr>
          <w:rFonts w:ascii="Times New Roman" w:eastAsia="Times New Roman" w:hAnsi="Times New Roman" w:cs="Times New Roman"/>
          <w:i/>
          <w:iCs/>
          <w:color w:val="auto"/>
          <w:sz w:val="24"/>
          <w:szCs w:val="24"/>
        </w:rPr>
        <w:t>97</w:t>
      </w:r>
      <w:r w:rsidRPr="008B08B2">
        <w:rPr>
          <w:rFonts w:ascii="Times New Roman" w:eastAsia="Times New Roman" w:hAnsi="Times New Roman" w:cs="Times New Roman"/>
          <w:color w:val="auto"/>
          <w:sz w:val="24"/>
          <w:szCs w:val="24"/>
        </w:rPr>
        <w:t>(38).</w:t>
      </w:r>
    </w:p>
    <w:p w14:paraId="5F05176F" w14:textId="161A7AE5" w:rsidR="008B08B2" w:rsidRPr="008B08B2" w:rsidRDefault="008B08B2" w:rsidP="008B08B2">
      <w:pPr>
        <w:spacing w:after="0" w:line="480" w:lineRule="auto"/>
        <w:ind w:left="720" w:hanging="720"/>
        <w:rPr>
          <w:rFonts w:ascii="Times New Roman" w:eastAsia="Times New Roman" w:hAnsi="Times New Roman" w:cs="Times New Roman"/>
          <w:color w:val="auto"/>
          <w:sz w:val="24"/>
          <w:szCs w:val="24"/>
        </w:rPr>
      </w:pPr>
      <w:r w:rsidRPr="008B08B2">
        <w:rPr>
          <w:rFonts w:ascii="Times New Roman" w:eastAsia="Times New Roman" w:hAnsi="Times New Roman" w:cs="Times New Roman"/>
          <w:color w:val="auto"/>
          <w:sz w:val="24"/>
          <w:szCs w:val="24"/>
        </w:rPr>
        <w:t xml:space="preserve">Kamel, S. I., Parker, L., Rao, V., &amp; Levin, D. C. (2020). Recent trends in Medicare reimbursements to nonradiologist physicians for in-office MRI and CT. </w:t>
      </w:r>
      <w:r w:rsidRPr="008B08B2">
        <w:rPr>
          <w:rFonts w:ascii="Times New Roman" w:eastAsia="Times New Roman" w:hAnsi="Times New Roman" w:cs="Times New Roman"/>
          <w:i/>
          <w:iCs/>
          <w:color w:val="auto"/>
          <w:sz w:val="24"/>
          <w:szCs w:val="24"/>
        </w:rPr>
        <w:t>Journal of the American College of Radiology</w:t>
      </w:r>
      <w:r w:rsidRPr="008B08B2">
        <w:rPr>
          <w:rFonts w:ascii="Times New Roman" w:eastAsia="Times New Roman" w:hAnsi="Times New Roman" w:cs="Times New Roman"/>
          <w:color w:val="auto"/>
          <w:sz w:val="24"/>
          <w:szCs w:val="24"/>
        </w:rPr>
        <w:t xml:space="preserve">, </w:t>
      </w:r>
      <w:r w:rsidRPr="008B08B2">
        <w:rPr>
          <w:rFonts w:ascii="Times New Roman" w:eastAsia="Times New Roman" w:hAnsi="Times New Roman" w:cs="Times New Roman"/>
          <w:i/>
          <w:iCs/>
          <w:color w:val="auto"/>
          <w:sz w:val="24"/>
          <w:szCs w:val="24"/>
        </w:rPr>
        <w:t>17</w:t>
      </w:r>
      <w:r w:rsidRPr="008B08B2">
        <w:rPr>
          <w:rFonts w:ascii="Times New Roman" w:eastAsia="Times New Roman" w:hAnsi="Times New Roman" w:cs="Times New Roman"/>
          <w:color w:val="auto"/>
          <w:sz w:val="24"/>
          <w:szCs w:val="24"/>
        </w:rPr>
        <w:t>(1), 118-124.</w:t>
      </w:r>
    </w:p>
    <w:p w14:paraId="0D6D8EC4" w14:textId="03772CC9" w:rsidR="0098520B" w:rsidRPr="008B08B2" w:rsidRDefault="003C71ED" w:rsidP="008B08B2">
      <w:pPr>
        <w:spacing w:line="480" w:lineRule="auto"/>
        <w:ind w:left="720" w:hanging="720"/>
        <w:rPr>
          <w:rFonts w:ascii="Times New Roman" w:hAnsi="Times New Roman" w:cs="Times New Roman"/>
          <w:sz w:val="24"/>
          <w:szCs w:val="24"/>
        </w:rPr>
      </w:pPr>
      <w:r w:rsidRPr="008B08B2">
        <w:rPr>
          <w:rFonts w:ascii="Times New Roman" w:hAnsi="Times New Roman" w:cs="Times New Roman"/>
          <w:sz w:val="24"/>
          <w:szCs w:val="24"/>
        </w:rPr>
        <w:t>Yasgur, B. (2018, May 29). Court-mandated substance abuse treatment: Exploring the ethics and efficacy. Retrieved from https://www.psychiatryadvisor.com/home/topics/addiction/court-mandated-substance-abuse-treatment-exploring-the-ethics-and-efficacy</w:t>
      </w:r>
    </w:p>
    <w:p w14:paraId="08F58598" w14:textId="77777777" w:rsidR="008B08B2" w:rsidRPr="008B08B2" w:rsidRDefault="008B08B2">
      <w:pPr>
        <w:rPr>
          <w:rFonts w:ascii="Times New Roman" w:hAnsi="Times New Roman" w:cs="Times New Roman"/>
          <w:sz w:val="24"/>
          <w:szCs w:val="24"/>
        </w:rPr>
      </w:pPr>
    </w:p>
    <w:sectPr w:rsidR="008B08B2" w:rsidRPr="008B08B2" w:rsidSect="00B9595A">
      <w:headerReference w:type="default" r:id="rId13"/>
      <w:footerReference w:type="default" r:id="rId14"/>
      <w:headerReference w:type="first" r:id="rId15"/>
      <w:footerReference w:type="first" r:id="rId16"/>
      <w:pgSz w:w="12240" w:h="15840"/>
      <w:pgMar w:top="720" w:right="1440" w:bottom="1440"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6184A8" w14:textId="77777777" w:rsidR="005B752E" w:rsidRDefault="005B752E" w:rsidP="000F0903">
      <w:pPr>
        <w:spacing w:after="0"/>
      </w:pPr>
      <w:r>
        <w:separator/>
      </w:r>
    </w:p>
  </w:endnote>
  <w:endnote w:type="continuationSeparator" w:id="0">
    <w:p w14:paraId="49A0627D" w14:textId="77777777" w:rsidR="005B752E" w:rsidRDefault="005B752E" w:rsidP="000F0903">
      <w:pPr>
        <w:spacing w:after="0"/>
      </w:pPr>
      <w:r>
        <w:continuationSeparator/>
      </w:r>
    </w:p>
  </w:endnote>
  <w:endnote w:type="continuationNotice" w:id="1">
    <w:p w14:paraId="78A4568F" w14:textId="77777777" w:rsidR="005B752E" w:rsidRDefault="005B752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Medium">
    <w:altName w:val="Times New Roman"/>
    <w:charset w:val="00"/>
    <w:family w:val="auto"/>
    <w:pitch w:val="variable"/>
    <w:sig w:usb0="E0000AFF" w:usb1="5000217F" w:usb2="00000021" w:usb3="00000000" w:csb0="0000019F" w:csb1="00000000"/>
  </w:font>
  <w:font w:name="Roboto">
    <w:altName w:val="Times New Roman"/>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4D0D2A" w14:textId="58C03F78" w:rsidR="002901D9" w:rsidRPr="00B9595A" w:rsidRDefault="002901D9" w:rsidP="184C0106">
    <w:pPr>
      <w:pStyle w:val="Footer"/>
      <w:jc w:val="center"/>
      <w:rPr>
        <w:sz w:val="16"/>
        <w:szCs w:val="16"/>
      </w:rPr>
    </w:pPr>
    <w:r w:rsidRPr="184C0106">
      <w:rPr>
        <w:sz w:val="16"/>
        <w:szCs w:val="16"/>
      </w:rPr>
      <w:t>Copyright</w:t>
    </w:r>
    <w:r>
      <w:rPr>
        <w:sz w:val="16"/>
        <w:szCs w:val="16"/>
      </w:rPr>
      <w:t>©</w:t>
    </w:r>
    <w:r w:rsidRPr="184C0106">
      <w:rPr>
        <w:sz w:val="16"/>
        <w:szCs w:val="16"/>
      </w:rPr>
      <w:t xml:space="preserve"> 20</w:t>
    </w:r>
    <w:r w:rsidR="00367A24">
      <w:rPr>
        <w:sz w:val="16"/>
        <w:szCs w:val="16"/>
      </w:rPr>
      <w:t>19</w:t>
    </w:r>
    <w:r w:rsidRPr="184C0106">
      <w:rPr>
        <w:sz w:val="16"/>
        <w:szCs w:val="16"/>
      </w:rPr>
      <w:t xml:space="preserve"> by University of Phoenix. All rights reserved.</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58A2A9" w14:textId="3C796879" w:rsidR="002901D9" w:rsidRPr="00B9595A" w:rsidRDefault="002901D9" w:rsidP="184C0106">
    <w:pPr>
      <w:pStyle w:val="Footer"/>
      <w:jc w:val="center"/>
      <w:rPr>
        <w:sz w:val="16"/>
        <w:szCs w:val="16"/>
      </w:rPr>
    </w:pPr>
    <w:r w:rsidRPr="184C0106">
      <w:rPr>
        <w:sz w:val="16"/>
        <w:szCs w:val="16"/>
      </w:rPr>
      <w:t>Copyright</w:t>
    </w:r>
    <w:r>
      <w:rPr>
        <w:sz w:val="16"/>
        <w:szCs w:val="16"/>
      </w:rPr>
      <w:t>©</w:t>
    </w:r>
    <w:r w:rsidR="00BF2FA3">
      <w:rPr>
        <w:sz w:val="16"/>
        <w:szCs w:val="16"/>
      </w:rPr>
      <w:t xml:space="preserve"> 2019</w:t>
    </w:r>
    <w:r w:rsidRPr="184C0106">
      <w:rPr>
        <w:sz w:val="16"/>
        <w:szCs w:val="16"/>
      </w:rPr>
      <w:t xml:space="preserve"> by University of Phoenix. All rights reserved.</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BF2450" w14:textId="77777777" w:rsidR="005B752E" w:rsidRDefault="005B752E" w:rsidP="000F0903">
      <w:pPr>
        <w:spacing w:after="0"/>
      </w:pPr>
      <w:r>
        <w:separator/>
      </w:r>
    </w:p>
  </w:footnote>
  <w:footnote w:type="continuationSeparator" w:id="0">
    <w:p w14:paraId="070D55A9" w14:textId="77777777" w:rsidR="005B752E" w:rsidRDefault="005B752E" w:rsidP="000F0903">
      <w:pPr>
        <w:spacing w:after="0"/>
      </w:pPr>
      <w:r>
        <w:continuationSeparator/>
      </w:r>
    </w:p>
  </w:footnote>
  <w:footnote w:type="continuationNotice" w:id="1">
    <w:p w14:paraId="67DEF5E8" w14:textId="77777777" w:rsidR="005B752E" w:rsidRDefault="005B752E">
      <w:pPr>
        <w:spacing w:after="0"/>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9CE977" w14:textId="2439FFA8" w:rsidR="002901D9" w:rsidRDefault="00BF2FA3" w:rsidP="00B9595A">
    <w:pPr>
      <w:spacing w:after="0"/>
      <w:ind w:left="6030"/>
      <w:jc w:val="right"/>
    </w:pPr>
    <w:r>
      <w:t>Consent and Payers Chart</w:t>
    </w:r>
  </w:p>
  <w:p w14:paraId="76B54142" w14:textId="45EF306F" w:rsidR="002901D9" w:rsidRDefault="00BF2FA3" w:rsidP="00B9595A">
    <w:pPr>
      <w:spacing w:after="0"/>
      <w:ind w:left="8190"/>
      <w:jc w:val="right"/>
    </w:pPr>
    <w:r>
      <w:t>HCS/430 v8</w:t>
    </w:r>
  </w:p>
  <w:p w14:paraId="229588AC" w14:textId="60A89351" w:rsidR="002901D9" w:rsidRPr="004B3024" w:rsidRDefault="002901D9" w:rsidP="00B9595A">
    <w:pPr>
      <w:spacing w:after="0"/>
      <w:ind w:left="8190"/>
      <w:jc w:val="right"/>
    </w:pPr>
    <w:r>
      <w:t xml:space="preserve">Page </w:t>
    </w:r>
    <w:r w:rsidRPr="184C0106">
      <w:rPr>
        <w:noProof/>
      </w:rPr>
      <w:fldChar w:fldCharType="begin"/>
    </w:r>
    <w:r w:rsidRPr="184C0106">
      <w:rPr>
        <w:noProof/>
      </w:rPr>
      <w:instrText xml:space="preserve"> PAGE  \* Arabic  \* MERGEFORMAT </w:instrText>
    </w:r>
    <w:r w:rsidRPr="184C0106">
      <w:rPr>
        <w:noProof/>
      </w:rPr>
      <w:fldChar w:fldCharType="separate"/>
    </w:r>
    <w:r w:rsidR="00935EAA">
      <w:rPr>
        <w:noProof/>
      </w:rPr>
      <w:t>6</w:t>
    </w:r>
    <w:r w:rsidRPr="184C0106">
      <w:rPr>
        <w:noProof/>
      </w:rPr>
      <w:fldChar w:fldCharType="end"/>
    </w:r>
    <w:r>
      <w:t xml:space="preserve"> of </w:t>
    </w:r>
    <w:r w:rsidRPr="184C0106">
      <w:rPr>
        <w:noProof/>
      </w:rPr>
      <w:fldChar w:fldCharType="begin"/>
    </w:r>
    <w:r w:rsidRPr="184C0106">
      <w:rPr>
        <w:noProof/>
      </w:rPr>
      <w:instrText xml:space="preserve"> NUMPAGES  \* Arabic  \* MERGEFORMAT </w:instrText>
    </w:r>
    <w:r w:rsidRPr="184C0106">
      <w:rPr>
        <w:noProof/>
      </w:rPr>
      <w:fldChar w:fldCharType="separate"/>
    </w:r>
    <w:r w:rsidR="00935EAA">
      <w:rPr>
        <w:noProof/>
      </w:rPr>
      <w:t>7</w:t>
    </w:r>
    <w:r w:rsidRPr="184C0106">
      <w:rPr>
        <w:noProof/>
      </w:rPr>
      <w:fldChar w:fldCharType="end"/>
    </w:r>
  </w:p>
  <w:p w14:paraId="79C2BB41" w14:textId="62ED273B" w:rsidR="002901D9" w:rsidRPr="00B9595A" w:rsidRDefault="002901D9" w:rsidP="00B9595A">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8960EC" w14:textId="79BADE15" w:rsidR="002901D9" w:rsidRDefault="00BF2FA3" w:rsidP="00B9595A">
    <w:pPr>
      <w:pStyle w:val="Header"/>
      <w:jc w:val="right"/>
    </w:pPr>
    <w:r>
      <w:t>HCS/430v8</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9E0397"/>
    <w:multiLevelType w:val="hybridMultilevel"/>
    <w:tmpl w:val="2D9295B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1EE4EF3"/>
    <w:multiLevelType w:val="hybridMultilevel"/>
    <w:tmpl w:val="BE2426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DD559E"/>
    <w:multiLevelType w:val="hybridMultilevel"/>
    <w:tmpl w:val="A1466468"/>
    <w:lvl w:ilvl="0" w:tplc="55ACFDB8">
      <w:start w:val="1"/>
      <w:numFmt w:val="decimal"/>
      <w:pStyle w:val="Numberedlist"/>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8195387"/>
    <w:multiLevelType w:val="hybridMultilevel"/>
    <w:tmpl w:val="6B82B4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38C2362"/>
    <w:multiLevelType w:val="hybridMultilevel"/>
    <w:tmpl w:val="5D76D8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8DC5F2E"/>
    <w:multiLevelType w:val="hybridMultilevel"/>
    <w:tmpl w:val="54FE0F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LockTheme/>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zQ3MTIwNzI1Mzc0M7JU0lEKTi0uzszPAykwNKoFACg+uI8tAAAA"/>
  </w:docVars>
  <w:rsids>
    <w:rsidRoot w:val="00B7574F"/>
    <w:rsid w:val="000C0803"/>
    <w:rsid w:val="000C2C6A"/>
    <w:rsid w:val="000D2169"/>
    <w:rsid w:val="000D761E"/>
    <w:rsid w:val="000F0903"/>
    <w:rsid w:val="0013181E"/>
    <w:rsid w:val="001602BB"/>
    <w:rsid w:val="001A2683"/>
    <w:rsid w:val="001C098D"/>
    <w:rsid w:val="001E45C6"/>
    <w:rsid w:val="00201214"/>
    <w:rsid w:val="00207997"/>
    <w:rsid w:val="00223E7F"/>
    <w:rsid w:val="00224434"/>
    <w:rsid w:val="00250EB0"/>
    <w:rsid w:val="00270C10"/>
    <w:rsid w:val="002901D9"/>
    <w:rsid w:val="002C2160"/>
    <w:rsid w:val="0033144D"/>
    <w:rsid w:val="00346D18"/>
    <w:rsid w:val="00367A24"/>
    <w:rsid w:val="00377506"/>
    <w:rsid w:val="003C71ED"/>
    <w:rsid w:val="00412993"/>
    <w:rsid w:val="0041707B"/>
    <w:rsid w:val="00427F4C"/>
    <w:rsid w:val="004500DE"/>
    <w:rsid w:val="00493A1D"/>
    <w:rsid w:val="004D5E06"/>
    <w:rsid w:val="005002EC"/>
    <w:rsid w:val="0052462B"/>
    <w:rsid w:val="00532293"/>
    <w:rsid w:val="00546A6C"/>
    <w:rsid w:val="005702EF"/>
    <w:rsid w:val="005B752E"/>
    <w:rsid w:val="005F5BC8"/>
    <w:rsid w:val="00654497"/>
    <w:rsid w:val="0066315B"/>
    <w:rsid w:val="007132AE"/>
    <w:rsid w:val="00776416"/>
    <w:rsid w:val="007942D2"/>
    <w:rsid w:val="007A0EAB"/>
    <w:rsid w:val="007F408C"/>
    <w:rsid w:val="008B08B2"/>
    <w:rsid w:val="008E49A3"/>
    <w:rsid w:val="00935086"/>
    <w:rsid w:val="00935EAA"/>
    <w:rsid w:val="00935F80"/>
    <w:rsid w:val="0098520B"/>
    <w:rsid w:val="009C241D"/>
    <w:rsid w:val="009C48ED"/>
    <w:rsid w:val="009E0D9C"/>
    <w:rsid w:val="00A03896"/>
    <w:rsid w:val="00A14190"/>
    <w:rsid w:val="00A621B0"/>
    <w:rsid w:val="00B1207F"/>
    <w:rsid w:val="00B3325E"/>
    <w:rsid w:val="00B7574F"/>
    <w:rsid w:val="00B9595A"/>
    <w:rsid w:val="00BF2FA3"/>
    <w:rsid w:val="00C032FD"/>
    <w:rsid w:val="00C610B2"/>
    <w:rsid w:val="00C71D4C"/>
    <w:rsid w:val="00CC6145"/>
    <w:rsid w:val="00CD4E4D"/>
    <w:rsid w:val="00D2123C"/>
    <w:rsid w:val="00DA2EA0"/>
    <w:rsid w:val="00DE1A94"/>
    <w:rsid w:val="00E22D25"/>
    <w:rsid w:val="00E50178"/>
    <w:rsid w:val="00E65CEA"/>
    <w:rsid w:val="00ED01FB"/>
    <w:rsid w:val="00F7576F"/>
    <w:rsid w:val="00FA11DE"/>
    <w:rsid w:val="00FF6339"/>
    <w:rsid w:val="17072597"/>
    <w:rsid w:val="184C0106"/>
    <w:rsid w:val="267881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088E664"/>
  <w15:chartTrackingRefBased/>
  <w15:docId w15:val="{90193903-0929-48A8-854C-7CA31A10D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Body"/>
    <w:qFormat/>
    <w:rsid w:val="00776416"/>
    <w:pPr>
      <w:spacing w:after="240" w:line="240" w:lineRule="auto"/>
    </w:pPr>
    <w:rPr>
      <w:rFonts w:ascii="Arial" w:hAnsi="Arial"/>
      <w:color w:val="4D3733" w:themeColor="background1"/>
      <w:sz w:val="20"/>
    </w:rPr>
  </w:style>
  <w:style w:type="paragraph" w:styleId="Heading1">
    <w:name w:val="heading 1"/>
    <w:basedOn w:val="Normal"/>
    <w:next w:val="Normal"/>
    <w:link w:val="Heading1Char"/>
    <w:uiPriority w:val="9"/>
    <w:qFormat/>
    <w:rsid w:val="00A03896"/>
    <w:pPr>
      <w:keepNext/>
      <w:keepLines/>
      <w:outlineLvl w:val="0"/>
    </w:pPr>
    <w:rPr>
      <w:rFonts w:eastAsiaTheme="majorEastAsia" w:cstheme="majorBidi"/>
      <w:b/>
      <w:sz w:val="36"/>
      <w:szCs w:val="32"/>
    </w:rPr>
  </w:style>
  <w:style w:type="paragraph" w:styleId="Heading2">
    <w:name w:val="heading 2"/>
    <w:basedOn w:val="Heading1"/>
    <w:next w:val="Normal"/>
    <w:link w:val="Heading2Char"/>
    <w:uiPriority w:val="9"/>
    <w:unhideWhenUsed/>
    <w:qFormat/>
    <w:rsid w:val="009C48ED"/>
    <w:pPr>
      <w:outlineLvl w:val="1"/>
    </w:pPr>
    <w:rPr>
      <w:color w:val="018391"/>
      <w:sz w:val="32"/>
      <w:szCs w:val="26"/>
    </w:rPr>
  </w:style>
  <w:style w:type="paragraph" w:styleId="Heading3">
    <w:name w:val="heading 3"/>
    <w:basedOn w:val="Heading2"/>
    <w:next w:val="Normal"/>
    <w:link w:val="Heading3Char"/>
    <w:uiPriority w:val="9"/>
    <w:unhideWhenUsed/>
    <w:qFormat/>
    <w:rsid w:val="009C48ED"/>
    <w:pPr>
      <w:outlineLvl w:val="2"/>
    </w:pPr>
    <w:rPr>
      <w:color w:val="4D3733"/>
      <w:sz w:val="28"/>
      <w:szCs w:val="24"/>
    </w:rPr>
  </w:style>
  <w:style w:type="paragraph" w:styleId="Heading4">
    <w:name w:val="heading 4"/>
    <w:basedOn w:val="Normal"/>
    <w:next w:val="Normal"/>
    <w:link w:val="Heading4Char"/>
    <w:uiPriority w:val="9"/>
    <w:unhideWhenUsed/>
    <w:rsid w:val="00A621B0"/>
    <w:pPr>
      <w:keepNext/>
      <w:keepLines/>
      <w:spacing w:before="120"/>
      <w:outlineLvl w:val="3"/>
    </w:pPr>
    <w:rPr>
      <w:rFonts w:ascii="Roboto Medium" w:eastAsiaTheme="majorEastAsia" w:hAnsi="Roboto Medium"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3896"/>
    <w:rPr>
      <w:rFonts w:ascii="Arial" w:eastAsiaTheme="majorEastAsia" w:hAnsi="Arial" w:cstheme="majorBidi"/>
      <w:b/>
      <w:color w:val="4D3733" w:themeColor="background1"/>
      <w:sz w:val="36"/>
      <w:szCs w:val="32"/>
    </w:rPr>
  </w:style>
  <w:style w:type="paragraph" w:styleId="NoSpacing">
    <w:name w:val="No Spacing"/>
    <w:uiPriority w:val="1"/>
    <w:rsid w:val="0033144D"/>
    <w:pPr>
      <w:spacing w:after="0" w:line="240" w:lineRule="auto"/>
    </w:pPr>
    <w:rPr>
      <w:rFonts w:ascii="Arial" w:hAnsi="Arial"/>
      <w:sz w:val="20"/>
    </w:rPr>
  </w:style>
  <w:style w:type="paragraph" w:styleId="Title">
    <w:name w:val="Title"/>
    <w:basedOn w:val="Normal"/>
    <w:next w:val="Normal"/>
    <w:link w:val="TitleChar"/>
    <w:uiPriority w:val="10"/>
    <w:qFormat/>
    <w:rsid w:val="0098520B"/>
    <w:rPr>
      <w:rFonts w:eastAsiaTheme="majorEastAsia" w:cstheme="majorBidi"/>
      <w:b/>
      <w:color w:val="DE3518"/>
      <w:spacing w:val="-10"/>
      <w:kern w:val="28"/>
      <w:sz w:val="44"/>
      <w:szCs w:val="56"/>
    </w:rPr>
  </w:style>
  <w:style w:type="character" w:customStyle="1" w:styleId="TitleChar">
    <w:name w:val="Title Char"/>
    <w:basedOn w:val="DefaultParagraphFont"/>
    <w:link w:val="Title"/>
    <w:uiPriority w:val="10"/>
    <w:rsid w:val="0098520B"/>
    <w:rPr>
      <w:rFonts w:ascii="Arial" w:eastAsiaTheme="majorEastAsia" w:hAnsi="Arial" w:cstheme="majorBidi"/>
      <w:b/>
      <w:color w:val="DE3518"/>
      <w:spacing w:val="-10"/>
      <w:kern w:val="28"/>
      <w:sz w:val="44"/>
      <w:szCs w:val="56"/>
    </w:rPr>
  </w:style>
  <w:style w:type="paragraph" w:customStyle="1" w:styleId="Numberedlist">
    <w:name w:val="Numbered list"/>
    <w:basedOn w:val="ListParagraph"/>
    <w:link w:val="NumberedlistChar"/>
    <w:qFormat/>
    <w:rsid w:val="00776416"/>
    <w:pPr>
      <w:numPr>
        <w:numId w:val="1"/>
      </w:numPr>
      <w:spacing w:before="60" w:after="60"/>
      <w:contextualSpacing w:val="0"/>
    </w:pPr>
  </w:style>
  <w:style w:type="character" w:styleId="Hyperlink">
    <w:name w:val="Hyperlink"/>
    <w:basedOn w:val="DefaultParagraphFont"/>
    <w:uiPriority w:val="99"/>
    <w:unhideWhenUsed/>
    <w:rsid w:val="00F7576F"/>
    <w:rPr>
      <w:color w:val="384F61" w:themeColor="hyperlink"/>
      <w:u w:val="single"/>
    </w:rPr>
  </w:style>
  <w:style w:type="character" w:customStyle="1" w:styleId="ListParagraphChar">
    <w:name w:val="List Paragraph Char"/>
    <w:aliases w:val="Bulleted list Char"/>
    <w:basedOn w:val="DefaultParagraphFont"/>
    <w:link w:val="ListParagraph"/>
    <w:uiPriority w:val="34"/>
    <w:rsid w:val="0066315B"/>
    <w:rPr>
      <w:rFonts w:ascii="Arial" w:hAnsi="Arial"/>
      <w:color w:val="4D3733"/>
      <w:sz w:val="20"/>
    </w:rPr>
  </w:style>
  <w:style w:type="character" w:customStyle="1" w:styleId="NumberedlistChar">
    <w:name w:val="Numbered list Char"/>
    <w:basedOn w:val="ListParagraphChar"/>
    <w:link w:val="Numberedlist"/>
    <w:rsid w:val="00776416"/>
    <w:rPr>
      <w:rFonts w:ascii="Arial" w:hAnsi="Arial"/>
      <w:color w:val="4D3733" w:themeColor="background1"/>
      <w:sz w:val="20"/>
    </w:rPr>
  </w:style>
  <w:style w:type="paragraph" w:styleId="ListParagraph">
    <w:name w:val="List Paragraph"/>
    <w:aliases w:val="Bulleted list"/>
    <w:basedOn w:val="Normal"/>
    <w:link w:val="ListParagraphChar"/>
    <w:uiPriority w:val="34"/>
    <w:qFormat/>
    <w:rsid w:val="0033144D"/>
    <w:pPr>
      <w:ind w:left="720"/>
      <w:contextualSpacing/>
    </w:pPr>
  </w:style>
  <w:style w:type="character" w:customStyle="1" w:styleId="Heading2Char">
    <w:name w:val="Heading 2 Char"/>
    <w:basedOn w:val="DefaultParagraphFont"/>
    <w:link w:val="Heading2"/>
    <w:uiPriority w:val="9"/>
    <w:rsid w:val="009C48ED"/>
    <w:rPr>
      <w:rFonts w:ascii="Roboto Medium" w:eastAsiaTheme="majorEastAsia" w:hAnsi="Roboto Medium" w:cstheme="majorBidi"/>
      <w:b/>
      <w:color w:val="018391"/>
      <w:sz w:val="32"/>
      <w:szCs w:val="26"/>
    </w:rPr>
  </w:style>
  <w:style w:type="character" w:customStyle="1" w:styleId="Heading3Char">
    <w:name w:val="Heading 3 Char"/>
    <w:basedOn w:val="DefaultParagraphFont"/>
    <w:link w:val="Heading3"/>
    <w:uiPriority w:val="9"/>
    <w:rsid w:val="009C48ED"/>
    <w:rPr>
      <w:rFonts w:ascii="Roboto Medium" w:eastAsiaTheme="majorEastAsia" w:hAnsi="Roboto Medium" w:cstheme="majorBidi"/>
      <w:b/>
      <w:color w:val="4D3733"/>
      <w:sz w:val="28"/>
      <w:szCs w:val="24"/>
    </w:rPr>
  </w:style>
  <w:style w:type="character" w:customStyle="1" w:styleId="Heading4Char">
    <w:name w:val="Heading 4 Char"/>
    <w:basedOn w:val="DefaultParagraphFont"/>
    <w:link w:val="Heading4"/>
    <w:uiPriority w:val="9"/>
    <w:rsid w:val="00A621B0"/>
    <w:rPr>
      <w:rFonts w:ascii="Roboto Medium" w:eastAsiaTheme="majorEastAsia" w:hAnsi="Roboto Medium" w:cstheme="majorBidi"/>
      <w:b/>
      <w:iCs/>
      <w:sz w:val="20"/>
    </w:rPr>
  </w:style>
  <w:style w:type="paragraph" w:styleId="Subtitle">
    <w:name w:val="Subtitle"/>
    <w:basedOn w:val="Normal"/>
    <w:next w:val="Normal"/>
    <w:link w:val="SubtitleChar"/>
    <w:uiPriority w:val="11"/>
    <w:rsid w:val="0033144D"/>
    <w:pPr>
      <w:numPr>
        <w:ilvl w:val="1"/>
      </w:numPr>
    </w:pPr>
    <w:rPr>
      <w:rFonts w:asciiTheme="minorHAnsi" w:eastAsiaTheme="minorEastAsia" w:hAnsiTheme="minorHAnsi"/>
      <w:color w:val="EE7864" w:themeColor="text1" w:themeTint="A5"/>
      <w:spacing w:val="15"/>
      <w:sz w:val="22"/>
    </w:rPr>
  </w:style>
  <w:style w:type="character" w:customStyle="1" w:styleId="SubtitleChar">
    <w:name w:val="Subtitle Char"/>
    <w:basedOn w:val="DefaultParagraphFont"/>
    <w:link w:val="Subtitle"/>
    <w:uiPriority w:val="11"/>
    <w:rsid w:val="0033144D"/>
    <w:rPr>
      <w:rFonts w:eastAsiaTheme="minorEastAsia"/>
      <w:color w:val="EE7864" w:themeColor="text1" w:themeTint="A5"/>
      <w:spacing w:val="15"/>
    </w:rPr>
  </w:style>
  <w:style w:type="character" w:styleId="FollowedHyperlink">
    <w:name w:val="FollowedHyperlink"/>
    <w:basedOn w:val="DefaultParagraphFont"/>
    <w:uiPriority w:val="99"/>
    <w:semiHidden/>
    <w:unhideWhenUsed/>
    <w:rsid w:val="001602BB"/>
    <w:rPr>
      <w:color w:val="018391" w:themeColor="followedHyperlink"/>
      <w:u w:val="single"/>
    </w:rPr>
  </w:style>
  <w:style w:type="paragraph" w:styleId="IntenseQuote">
    <w:name w:val="Intense Quote"/>
    <w:basedOn w:val="Normal"/>
    <w:next w:val="Normal"/>
    <w:link w:val="IntenseQuoteChar"/>
    <w:uiPriority w:val="30"/>
    <w:qFormat/>
    <w:rsid w:val="00A621B0"/>
    <w:pPr>
      <w:pBdr>
        <w:top w:val="single" w:sz="4" w:space="10" w:color="4D3733"/>
        <w:bottom w:val="single" w:sz="4" w:space="10" w:color="4D3733"/>
      </w:pBdr>
      <w:spacing w:before="360" w:after="360"/>
      <w:ind w:left="864" w:right="864"/>
      <w:jc w:val="center"/>
    </w:pPr>
    <w:rPr>
      <w:rFonts w:ascii="Roboto" w:hAnsi="Roboto"/>
      <w:i/>
      <w:iCs/>
      <w:color w:val="018391"/>
      <w:sz w:val="24"/>
    </w:rPr>
  </w:style>
  <w:style w:type="character" w:customStyle="1" w:styleId="IntenseQuoteChar">
    <w:name w:val="Intense Quote Char"/>
    <w:basedOn w:val="DefaultParagraphFont"/>
    <w:link w:val="IntenseQuote"/>
    <w:uiPriority w:val="30"/>
    <w:rsid w:val="00A621B0"/>
    <w:rPr>
      <w:rFonts w:ascii="Roboto" w:hAnsi="Roboto"/>
      <w:i/>
      <w:iCs/>
      <w:color w:val="018391"/>
      <w:sz w:val="24"/>
    </w:rPr>
  </w:style>
  <w:style w:type="character" w:styleId="PlaceholderText">
    <w:name w:val="Placeholder Text"/>
    <w:basedOn w:val="DefaultParagraphFont"/>
    <w:uiPriority w:val="99"/>
    <w:semiHidden/>
    <w:rsid w:val="000C0803"/>
    <w:rPr>
      <w:color w:val="808080"/>
    </w:rPr>
  </w:style>
  <w:style w:type="paragraph" w:styleId="Header">
    <w:name w:val="header"/>
    <w:basedOn w:val="Normal"/>
    <w:link w:val="HeaderChar"/>
    <w:uiPriority w:val="99"/>
    <w:unhideWhenUsed/>
    <w:rsid w:val="00ED01FB"/>
    <w:pPr>
      <w:tabs>
        <w:tab w:val="center" w:pos="4680"/>
        <w:tab w:val="right" w:pos="9360"/>
      </w:tabs>
      <w:spacing w:after="0"/>
    </w:pPr>
  </w:style>
  <w:style w:type="character" w:customStyle="1" w:styleId="HeaderChar">
    <w:name w:val="Header Char"/>
    <w:basedOn w:val="DefaultParagraphFont"/>
    <w:link w:val="Header"/>
    <w:uiPriority w:val="99"/>
    <w:rsid w:val="00ED01FB"/>
    <w:rPr>
      <w:rFonts w:ascii="Arial" w:hAnsi="Arial"/>
      <w:color w:val="4D3733"/>
      <w:sz w:val="20"/>
    </w:rPr>
  </w:style>
  <w:style w:type="paragraph" w:styleId="Footer">
    <w:name w:val="footer"/>
    <w:basedOn w:val="Normal"/>
    <w:link w:val="FooterChar"/>
    <w:uiPriority w:val="99"/>
    <w:unhideWhenUsed/>
    <w:rsid w:val="00ED01FB"/>
    <w:pPr>
      <w:tabs>
        <w:tab w:val="center" w:pos="4680"/>
        <w:tab w:val="right" w:pos="9360"/>
      </w:tabs>
      <w:spacing w:after="0"/>
    </w:pPr>
  </w:style>
  <w:style w:type="character" w:customStyle="1" w:styleId="FooterChar">
    <w:name w:val="Footer Char"/>
    <w:basedOn w:val="DefaultParagraphFont"/>
    <w:link w:val="Footer"/>
    <w:uiPriority w:val="99"/>
    <w:rsid w:val="00ED01FB"/>
    <w:rPr>
      <w:rFonts w:ascii="Arial" w:hAnsi="Arial"/>
      <w:color w:val="4D3733"/>
      <w:sz w:val="20"/>
    </w:rPr>
  </w:style>
  <w:style w:type="table" w:styleId="TableGrid">
    <w:name w:val="Table Grid"/>
    <w:basedOn w:val="TableNormal"/>
    <w:uiPriority w:val="39"/>
    <w:rsid w:val="007A0E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rsid w:val="00BF2FA3"/>
    <w:pPr>
      <w:widowControl w:val="0"/>
      <w:spacing w:after="0"/>
    </w:pPr>
    <w:rPr>
      <w:rFonts w:eastAsia="Times New Roman" w:cs="Times New Roman"/>
      <w:color w:val="auto"/>
      <w:szCs w:val="20"/>
    </w:rPr>
  </w:style>
  <w:style w:type="character" w:customStyle="1" w:styleId="CommentTextChar">
    <w:name w:val="Comment Text Char"/>
    <w:basedOn w:val="DefaultParagraphFont"/>
    <w:link w:val="CommentText"/>
    <w:uiPriority w:val="99"/>
    <w:rsid w:val="00BF2FA3"/>
    <w:rPr>
      <w:rFonts w:ascii="Arial" w:eastAsia="Times New Roman" w:hAnsi="Arial" w:cs="Times New Roman"/>
      <w:sz w:val="20"/>
      <w:szCs w:val="20"/>
    </w:rPr>
  </w:style>
  <w:style w:type="paragraph" w:customStyle="1" w:styleId="AssignmentsLevel1">
    <w:name w:val="Assignments Level 1"/>
    <w:basedOn w:val="Normal"/>
    <w:link w:val="AssignmentsLevel1Char"/>
    <w:qFormat/>
    <w:rsid w:val="00BF2FA3"/>
    <w:pPr>
      <w:widowControl w:val="0"/>
      <w:spacing w:after="0"/>
    </w:pPr>
    <w:rPr>
      <w:rFonts w:eastAsia="Times New Roman" w:cs="Arial"/>
      <w:color w:val="auto"/>
      <w:szCs w:val="20"/>
    </w:rPr>
  </w:style>
  <w:style w:type="character" w:customStyle="1" w:styleId="AssignmentsLevel1Char">
    <w:name w:val="Assignments Level 1 Char"/>
    <w:link w:val="AssignmentsLevel1"/>
    <w:rsid w:val="00BF2FA3"/>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097761">
      <w:bodyDiv w:val="1"/>
      <w:marLeft w:val="0"/>
      <w:marRight w:val="0"/>
      <w:marTop w:val="0"/>
      <w:marBottom w:val="0"/>
      <w:divBdr>
        <w:top w:val="none" w:sz="0" w:space="0" w:color="auto"/>
        <w:left w:val="none" w:sz="0" w:space="0" w:color="auto"/>
        <w:bottom w:val="none" w:sz="0" w:space="0" w:color="auto"/>
        <w:right w:val="none" w:sz="0" w:space="0" w:color="auto"/>
      </w:divBdr>
      <w:divsChild>
        <w:div w:id="1662613866">
          <w:marLeft w:val="0"/>
          <w:marRight w:val="0"/>
          <w:marTop w:val="0"/>
          <w:marBottom w:val="0"/>
          <w:divBdr>
            <w:top w:val="none" w:sz="0" w:space="0" w:color="auto"/>
            <w:left w:val="none" w:sz="0" w:space="0" w:color="auto"/>
            <w:bottom w:val="none" w:sz="0" w:space="0" w:color="auto"/>
            <w:right w:val="none" w:sz="0" w:space="0" w:color="auto"/>
          </w:divBdr>
        </w:div>
      </w:divsChild>
    </w:div>
    <w:div w:id="844369401">
      <w:bodyDiv w:val="1"/>
      <w:marLeft w:val="0"/>
      <w:marRight w:val="0"/>
      <w:marTop w:val="0"/>
      <w:marBottom w:val="0"/>
      <w:divBdr>
        <w:top w:val="none" w:sz="0" w:space="0" w:color="auto"/>
        <w:left w:val="none" w:sz="0" w:space="0" w:color="auto"/>
        <w:bottom w:val="none" w:sz="0" w:space="0" w:color="auto"/>
        <w:right w:val="none" w:sz="0" w:space="0" w:color="auto"/>
      </w:divBdr>
      <w:divsChild>
        <w:div w:id="19256450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Retrospect">
  <a:themeElements>
    <a:clrScheme name="University of Phoenix">
      <a:dk1>
        <a:srgbClr val="DE3518"/>
      </a:dk1>
      <a:lt1>
        <a:srgbClr val="4D3733"/>
      </a:lt1>
      <a:dk2>
        <a:srgbClr val="018391"/>
      </a:dk2>
      <a:lt2>
        <a:srgbClr val="405E71"/>
      </a:lt2>
      <a:accent1>
        <a:srgbClr val="4F4F4F"/>
      </a:accent1>
      <a:accent2>
        <a:srgbClr val="808080"/>
      </a:accent2>
      <a:accent3>
        <a:srgbClr val="C0C0C0"/>
      </a:accent3>
      <a:accent4>
        <a:srgbClr val="E0E0E0"/>
      </a:accent4>
      <a:accent5>
        <a:srgbClr val="EDEDED"/>
      </a:accent5>
      <a:accent6>
        <a:srgbClr val="EEE9E3"/>
      </a:accent6>
      <a:hlink>
        <a:srgbClr val="384F61"/>
      </a:hlink>
      <a:folHlink>
        <a:srgbClr val="018391"/>
      </a:folHlink>
    </a:clrScheme>
    <a:fontScheme name="Custom 1">
      <a:majorFont>
        <a:latin typeface="Arial"/>
        <a:ea typeface=""/>
        <a:cs typeface=""/>
      </a:majorFont>
      <a:minorFont>
        <a:latin typeface="Arial"/>
        <a:ea typeface=""/>
        <a:cs typeface=""/>
      </a:minorFont>
    </a:fontScheme>
    <a:fmtScheme name="Retrospect">
      <a:fillStyleLst>
        <a:solidFill>
          <a:schemeClr val="phClr"/>
        </a:solidFill>
        <a:gradFill rotWithShape="1">
          <a:gsLst>
            <a:gs pos="0">
              <a:schemeClr val="phClr">
                <a:tint val="65000"/>
                <a:shade val="92000"/>
                <a:satMod val="130000"/>
              </a:schemeClr>
            </a:gs>
            <a:gs pos="45000">
              <a:schemeClr val="phClr">
                <a:tint val="60000"/>
                <a:shade val="99000"/>
                <a:satMod val="120000"/>
              </a:schemeClr>
            </a:gs>
            <a:gs pos="100000">
              <a:schemeClr val="phClr">
                <a:tint val="55000"/>
                <a:satMod val="140000"/>
              </a:schemeClr>
            </a:gs>
          </a:gsLst>
          <a:path path="circle">
            <a:fillToRect l="100000" t="100000" r="100000" b="100000"/>
          </a:path>
        </a:gradFill>
        <a:gradFill rotWithShape="1">
          <a:gsLst>
            <a:gs pos="0">
              <a:schemeClr val="phClr">
                <a:shade val="85000"/>
                <a:satMod val="130000"/>
              </a:schemeClr>
            </a:gs>
            <a:gs pos="34000">
              <a:schemeClr val="phClr">
                <a:shade val="87000"/>
                <a:satMod val="125000"/>
              </a:schemeClr>
            </a:gs>
            <a:gs pos="70000">
              <a:schemeClr val="phClr">
                <a:tint val="100000"/>
                <a:shade val="90000"/>
                <a:satMod val="130000"/>
              </a:schemeClr>
            </a:gs>
            <a:gs pos="100000">
              <a:schemeClr val="phClr">
                <a:tint val="100000"/>
                <a:shade val="100000"/>
                <a:satMod val="110000"/>
              </a:schemeClr>
            </a:gs>
          </a:gsLst>
          <a:path path="circle">
            <a:fillToRect l="100000" t="100000" r="100000" b="100000"/>
          </a:path>
        </a:gradFill>
      </a:fillStyleLst>
      <a:lnStyleLst>
        <a:ln w="12700" cap="flat" cmpd="sng" algn="ctr">
          <a:solidFill>
            <a:schemeClr val="phClr"/>
          </a:solidFill>
          <a:prstDash val="solid"/>
        </a:ln>
        <a:ln w="15875"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38100" dist="25400" dir="2700000" algn="br" rotWithShape="0">
              <a:srgbClr val="000000">
                <a:alpha val="60000"/>
              </a:srgbClr>
            </a:outerShdw>
          </a:effectLst>
        </a:effectStyle>
        <a:effectStyle>
          <a:effectLst>
            <a:outerShdw blurRad="44450" dist="25400" dir="2700000" algn="br" rotWithShape="0">
              <a:srgbClr val="000000">
                <a:alpha val="60000"/>
              </a:srgbClr>
            </a:outerShdw>
          </a:effectLst>
          <a:scene3d>
            <a:camera prst="orthographicFront">
              <a:rot lat="0" lon="0" rev="0"/>
            </a:camera>
            <a:lightRig rig="threePt" dir="t">
              <a:rot lat="0" lon="0" rev="19800000"/>
            </a:lightRig>
          </a:scene3d>
          <a:sp3d prstMaterial="flat">
            <a:bevelT w="25400" h="31750"/>
          </a:sp3d>
        </a:effectStyle>
      </a:effectStyleLst>
      <a:bgFillStyleLst>
        <a:solidFill>
          <a:schemeClr val="phClr"/>
        </a:solidFill>
        <a:solidFill>
          <a:schemeClr val="phClr">
            <a:tint val="90000"/>
            <a:shade val="97000"/>
            <a:satMod val="130000"/>
          </a:schemeClr>
        </a:solidFill>
        <a:gradFill rotWithShape="1">
          <a:gsLst>
            <a:gs pos="0">
              <a:schemeClr val="phClr">
                <a:tint val="96000"/>
                <a:shade val="99000"/>
                <a:satMod val="140000"/>
              </a:schemeClr>
            </a:gs>
            <a:gs pos="65000">
              <a:schemeClr val="phClr">
                <a:tint val="100000"/>
                <a:shade val="80000"/>
                <a:satMod val="130000"/>
              </a:schemeClr>
            </a:gs>
            <a:gs pos="100000">
              <a:schemeClr val="phClr">
                <a:tint val="100000"/>
                <a:shade val="48000"/>
                <a:satMod val="120000"/>
              </a:schemeClr>
            </a:gs>
          </a:gsLst>
          <a:lin ang="16200000" scaled="0"/>
        </a:gradFill>
      </a:bgFillStyleLst>
    </a:fmtScheme>
  </a:themeElements>
  <a:objectDefaults/>
  <a:extraClrSchemeLst/>
  <a:extLst>
    <a:ext uri="{05A4C25C-085E-4340-85A3-A5531E510DB2}">
      <thm15:themeFamily xmlns:thm15="http://schemas.microsoft.com/office/thememl/2012/main" name="Retrospect" id="{5F128B03-DCCA-4EEB-AB3B-CF2899314A46}" vid="{3F1AAB62-24C6-49D2-8E01-B56FAC9A3DC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398F2D86927094FB725CCED44C41431" ma:contentTypeVersion="11" ma:contentTypeDescription="Create a new document." ma:contentTypeScope="" ma:versionID="e7dd191121ac545302d3299e7133f36d">
  <xsd:schema xmlns:xsd="http://www.w3.org/2001/XMLSchema" xmlns:xs="http://www.w3.org/2001/XMLSchema" xmlns:p="http://schemas.microsoft.com/office/2006/metadata/properties" xmlns:ns2="c3da832f-3ecf-443d-91e7-99457f1877f8" xmlns:ns3="b06b1bca-4aad-41ab-bd2f-6e8d6f0c1215" targetNamespace="http://schemas.microsoft.com/office/2006/metadata/properties" ma:root="true" ma:fieldsID="63fe53d87f2c747c70cf120b02798e59" ns2:_="" ns3:_="">
    <xsd:import namespace="c3da832f-3ecf-443d-91e7-99457f1877f8"/>
    <xsd:import namespace="b06b1bca-4aad-41ab-bd2f-6e8d6f0c1215"/>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Comments" minOccurs="0"/>
                <xsd:element ref="ns2:MediaServiceAutoTags" minOccurs="0"/>
                <xsd:element ref="ns2:MediaServiceOCR" minOccurs="0"/>
                <xsd:element ref="ns2:MediaServiceEventHashCode" minOccurs="0"/>
                <xsd:element ref="ns2:MediaServiceGenerationTime"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da832f-3ecf-443d-91e7-99457f1877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Comments" ma:index="13" nillable="true" ma:displayName="Comments" ma:description="5/3 Please map objectives, add notes, and provide suggested times" ma:internalName="Comments">
      <xsd:simpleType>
        <xsd:restriction base="dms:Note">
          <xsd:maxLength value="255"/>
        </xsd:restriction>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_Flow_SignoffStatus" ma:index="18" nillable="true" ma:displayName="Sign-off status" ma:internalName="_x0024_Resources_x003a_core_x002c_Signoff_Status_x003b_">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6b1bca-4aad-41ab-bd2f-6e8d6f0c121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omments xmlns="c3da832f-3ecf-443d-91e7-99457f1877f8" xsi:nil="true"/>
    <_Flow_SignoffStatus xmlns="c3da832f-3ecf-443d-91e7-99457f1877f8" xsi:nil="true"/>
    <SharedWithUsers xmlns="b06b1bca-4aad-41ab-bd2f-6e8d6f0c1215">
      <UserInfo>
        <DisplayName>Larisa Thompson</DisplayName>
        <AccountId>3221</AccountId>
        <AccountType/>
      </UserInfo>
    </SharedWithUser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9CF78CE-5210-4AFA-8EF5-9E9A1E142F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da832f-3ecf-443d-91e7-99457f1877f8"/>
    <ds:schemaRef ds:uri="b06b1bca-4aad-41ab-bd2f-6e8d6f0c12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A5818B-0543-49BA-99E9-4FF239410EFE}">
  <ds:schemaRefs>
    <ds:schemaRef ds:uri="http://schemas.microsoft.com/sharepoint/v3/contenttype/forms"/>
  </ds:schemaRefs>
</ds:datastoreItem>
</file>

<file path=customXml/itemProps4.xml><?xml version="1.0" encoding="utf-8"?>
<ds:datastoreItem xmlns:ds="http://schemas.openxmlformats.org/officeDocument/2006/customXml" ds:itemID="{E69A0553-DB03-4ACA-868F-95E0E20C7CDD}">
  <ds:schemaRefs>
    <ds:schemaRef ds:uri="c3da832f-3ecf-443d-91e7-99457f1877f8"/>
    <ds:schemaRef ds:uri="http://schemas.microsoft.com/office/2006/documentManagement/types"/>
    <ds:schemaRef ds:uri="http://www.w3.org/XML/1998/namespace"/>
    <ds:schemaRef ds:uri="http://purl.org/dc/elements/1.1/"/>
    <ds:schemaRef ds:uri="b06b1bca-4aad-41ab-bd2f-6e8d6f0c1215"/>
    <ds:schemaRef ds:uri="http://purl.org/dc/terms/"/>
    <ds:schemaRef ds:uri="http://schemas.microsoft.com/office/infopath/2007/PartnerControls"/>
    <ds:schemaRef ds:uri="http://schemas.openxmlformats.org/package/2006/metadata/core-properties"/>
    <ds:schemaRef ds:uri="http://schemas.microsoft.com/office/2006/metadata/properties"/>
    <ds:schemaRef ds:uri="http://purl.org/dc/dcmitype/"/>
  </ds:schemaRefs>
</ds:datastoreItem>
</file>

<file path=customXml/itemProps5.xml><?xml version="1.0" encoding="utf-8"?>
<ds:datastoreItem xmlns:ds="http://schemas.openxmlformats.org/officeDocument/2006/customXml" ds:itemID="{05584DA3-E8BF-4730-80EA-02DCC3FA0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1202</Words>
  <Characters>6858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Insert Title</vt:lpstr>
    </vt:vector>
  </TitlesOfParts>
  <Company>Apollo Group</Company>
  <LinksUpToDate>false</LinksUpToDate>
  <CharactersWithSpaces>8044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Insert Title</dc:title>
  <dc:subject/>
  <dc:creator>University of Phoenix</dc:creator>
  <cp:keywords/>
  <dc:description/>
  <cp:lastModifiedBy>User</cp:lastModifiedBy>
  <cp:revision>3</cp:revision>
  <dcterms:created xsi:type="dcterms:W3CDTF">2021-08-30T15:43:00Z</dcterms:created>
  <dcterms:modified xsi:type="dcterms:W3CDTF">2021-08-30T15:43:00Z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0x0101007398F2D86927094FB725CCED44C41431</vt:lpwstr>
  </property>
</Properties>
</file>